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utoSpaceDN w:val="0"/>
        <w:spacing w:line="400" w:lineRule="exact"/>
        <w:jc w:val="center"/>
      </w:pPr>
      <w:r>
        <w:rPr>
          <w:rFonts w:ascii="LlEL5NUK+TimesNewRomanPS" w:hAnsi="LlEL5NUK+TimesNewRomanPS" w:eastAsia="LlEL5NUK+TimesNewRomanPS"/>
          <w:color w:val="000000"/>
          <w:sz w:val="36"/>
        </w:rPr>
        <w:t>202</w:t>
      </w:r>
      <w:r>
        <w:rPr>
          <w:rFonts w:ascii="LlEL5NUK+TimesNewRomanPS" w:hAnsi="LlEL5NUK+TimesNewRomanPS" w:eastAsia="LlEL5NUK+TimesNewRomanPS"/>
          <w:color w:val="000000"/>
          <w:spacing w:val="90"/>
          <w:sz w:val="36"/>
        </w:rPr>
        <w:t>4</w:t>
      </w:r>
      <w:r>
        <w:rPr>
          <w:rFonts w:ascii="Mdkdmhle+SimSun" w:hAnsi="Mdkdmhle+SimSun" w:eastAsia="Mdkdmhle+SimSun"/>
          <w:b/>
          <w:color w:val="000000"/>
          <w:spacing w:val="2"/>
          <w:sz w:val="36"/>
        </w:rPr>
        <w:t>年</w:t>
      </w:r>
      <w:r>
        <w:rPr>
          <w:rFonts w:ascii="Mdkdmhle+SimSun" w:hAnsi="Mdkdmhle+SimSun" w:eastAsia="Mdkdmhle+SimSun"/>
          <w:b/>
          <w:color w:val="000000"/>
          <w:sz w:val="36"/>
        </w:rPr>
        <w:t>度</w:t>
      </w:r>
      <w:r>
        <w:rPr>
          <w:rFonts w:ascii="Mdkdmhle+SimSun" w:hAnsi="Mdkdmhle+SimSun" w:eastAsia="Mdkdmhle+SimSun"/>
          <w:b/>
          <w:color w:val="000000"/>
          <w:spacing w:val="2"/>
          <w:sz w:val="36"/>
        </w:rPr>
        <w:t>广</w:t>
      </w:r>
      <w:r>
        <w:rPr>
          <w:rFonts w:ascii="Mdkdmhle+SimSun" w:hAnsi="Mdkdmhle+SimSun" w:eastAsia="Mdkdmhle+SimSun"/>
          <w:b/>
          <w:color w:val="000000"/>
          <w:sz w:val="36"/>
        </w:rPr>
        <w:t>东</w:t>
      </w:r>
      <w:r>
        <w:rPr>
          <w:rFonts w:ascii="Mdkdmhle+SimSun" w:hAnsi="Mdkdmhle+SimSun" w:eastAsia="Mdkdmhle+SimSun"/>
          <w:b/>
          <w:color w:val="000000"/>
          <w:spacing w:val="2"/>
          <w:sz w:val="36"/>
        </w:rPr>
        <w:t>省科</w:t>
      </w:r>
      <w:r>
        <w:rPr>
          <w:rFonts w:ascii="Mdkdmhle+SimSun" w:hAnsi="Mdkdmhle+SimSun" w:eastAsia="Mdkdmhle+SimSun"/>
          <w:b/>
          <w:color w:val="000000"/>
          <w:sz w:val="36"/>
        </w:rPr>
        <w:t>学</w:t>
      </w:r>
      <w:r>
        <w:rPr>
          <w:rFonts w:ascii="Mdkdmhle+SimSun" w:hAnsi="Mdkdmhle+SimSun" w:eastAsia="Mdkdmhle+SimSun"/>
          <w:b/>
          <w:color w:val="000000"/>
          <w:spacing w:val="4"/>
          <w:sz w:val="36"/>
        </w:rPr>
        <w:t>技</w:t>
      </w:r>
      <w:r>
        <w:rPr>
          <w:rFonts w:ascii="Mdkdmhle+SimSun" w:hAnsi="Mdkdmhle+SimSun" w:eastAsia="Mdkdmhle+SimSun"/>
          <w:b/>
          <w:color w:val="000000"/>
          <w:sz w:val="36"/>
        </w:rPr>
        <w:t>术</w:t>
      </w:r>
      <w:r>
        <w:rPr>
          <w:rFonts w:ascii="Mdkdmhle+SimSun" w:hAnsi="Mdkdmhle+SimSun" w:eastAsia="Mdkdmhle+SimSun"/>
          <w:b/>
          <w:color w:val="000000"/>
          <w:spacing w:val="2"/>
          <w:sz w:val="36"/>
        </w:rPr>
        <w:t>奖</w:t>
      </w:r>
      <w:r>
        <w:rPr>
          <w:rFonts w:ascii="Mdkdmhle+SimSun" w:hAnsi="Mdkdmhle+SimSun" w:eastAsia="Mdkdmhle+SimSun"/>
          <w:b/>
          <w:color w:val="000000"/>
          <w:sz w:val="36"/>
        </w:rPr>
        <w:t>公</w:t>
      </w:r>
      <w:r>
        <w:rPr>
          <w:rFonts w:ascii="Mdkdmhle+SimSun" w:hAnsi="Mdkdmhle+SimSun" w:eastAsia="Mdkdmhle+SimSun"/>
          <w:b/>
          <w:color w:val="000000"/>
          <w:spacing w:val="2"/>
          <w:sz w:val="36"/>
        </w:rPr>
        <w:t>示</w:t>
      </w:r>
      <w:r>
        <w:rPr>
          <w:rFonts w:ascii="Mdkdmhle+SimSun" w:hAnsi="Mdkdmhle+SimSun" w:eastAsia="Mdkdmhle+SimSun"/>
          <w:b/>
          <w:color w:val="000000"/>
          <w:sz w:val="36"/>
        </w:rPr>
        <w:t>表</w:t>
      </w:r>
    </w:p>
    <w:p>
      <w:pPr>
        <w:widowControl/>
        <w:jc w:val="distribute"/>
        <w:rPr>
          <w:rFonts w:ascii="9n4wAoe0+TimesNewRomanPSMT" w:hAnsi="9n4wAoe0+TimesNewRomanPSMT" w:eastAsia="9n4wAoe0+TimesNewRomanPSMT"/>
          <w:color w:val="000000"/>
        </w:rPr>
      </w:pPr>
      <w:r>
        <w:rPr>
          <w:rFonts w:ascii="Mdkdmhle+SimSun" w:hAnsi="Mdkdmhle+SimSun" w:eastAsia="Mdkdmhle+SimSun"/>
          <w:b/>
          <w:color w:val="000000"/>
          <w:sz w:val="36"/>
        </w:rPr>
        <w:t>（</w:t>
      </w:r>
      <w:r>
        <w:rPr>
          <w:rFonts w:ascii="Mdkdmhle+SimSun" w:hAnsi="Mdkdmhle+SimSun" w:eastAsia="Mdkdmhle+SimSun"/>
          <w:b/>
          <w:color w:val="000000"/>
          <w:spacing w:val="-34"/>
          <w:sz w:val="36"/>
        </w:rPr>
        <w:t>自</w:t>
      </w:r>
      <w:r>
        <w:rPr>
          <w:rFonts w:ascii="Mdkdmhle+SimSun" w:hAnsi="Mdkdmhle+SimSun" w:eastAsia="Mdkdmhle+SimSun"/>
          <w:b/>
          <w:color w:val="000000"/>
          <w:spacing w:val="-32"/>
          <w:sz w:val="36"/>
        </w:rPr>
        <w:t>然科学</w:t>
      </w:r>
      <w:r>
        <w:rPr>
          <w:rFonts w:ascii="Mdkdmhle+SimSun" w:hAnsi="Mdkdmhle+SimSun" w:eastAsia="Mdkdmhle+SimSun"/>
          <w:b/>
          <w:color w:val="000000"/>
          <w:spacing w:val="-34"/>
          <w:sz w:val="36"/>
        </w:rPr>
        <w:t>奖</w:t>
      </w:r>
      <w:r>
        <w:rPr>
          <w:rFonts w:ascii="Mdkdmhle+SimSun" w:hAnsi="Mdkdmhle+SimSun" w:eastAsia="Mdkdmhle+SimSun"/>
          <w:b/>
          <w:color w:val="000000"/>
          <w:spacing w:val="-134"/>
          <w:sz w:val="36"/>
        </w:rPr>
        <w:t>、</w:t>
      </w:r>
      <w:r>
        <w:rPr>
          <w:rFonts w:ascii="Mdkdmhle+SimSun" w:hAnsi="Mdkdmhle+SimSun" w:eastAsia="Mdkdmhle+SimSun"/>
          <w:b/>
          <w:color w:val="000000"/>
          <w:spacing w:val="-34"/>
          <w:sz w:val="36"/>
        </w:rPr>
        <w:t>技</w:t>
      </w:r>
      <w:r>
        <w:rPr>
          <w:rFonts w:ascii="Mdkdmhle+SimSun" w:hAnsi="Mdkdmhle+SimSun" w:eastAsia="Mdkdmhle+SimSun"/>
          <w:b/>
          <w:color w:val="000000"/>
          <w:spacing w:val="-30"/>
          <w:sz w:val="36"/>
        </w:rPr>
        <w:t>术</w:t>
      </w:r>
      <w:r>
        <w:rPr>
          <w:rFonts w:ascii="Mdkdmhle+SimSun" w:hAnsi="Mdkdmhle+SimSun" w:eastAsia="Mdkdmhle+SimSun"/>
          <w:b/>
          <w:color w:val="000000"/>
          <w:spacing w:val="-34"/>
          <w:sz w:val="36"/>
        </w:rPr>
        <w:t>发</w:t>
      </w:r>
      <w:r>
        <w:rPr>
          <w:rFonts w:ascii="Mdkdmhle+SimSun" w:hAnsi="Mdkdmhle+SimSun" w:eastAsia="Mdkdmhle+SimSun"/>
          <w:b/>
          <w:color w:val="000000"/>
          <w:spacing w:val="-32"/>
          <w:sz w:val="36"/>
        </w:rPr>
        <w:t>明</w:t>
      </w:r>
      <w:r>
        <w:rPr>
          <w:rFonts w:ascii="Mdkdmhle+SimSun" w:hAnsi="Mdkdmhle+SimSun" w:eastAsia="Mdkdmhle+SimSun"/>
          <w:b/>
          <w:color w:val="000000"/>
          <w:spacing w:val="-34"/>
          <w:sz w:val="36"/>
        </w:rPr>
        <w:t>奖</w:t>
      </w:r>
      <w:r>
        <w:rPr>
          <w:rFonts w:ascii="Mdkdmhle+SimSun" w:hAnsi="Mdkdmhle+SimSun" w:eastAsia="Mdkdmhle+SimSun"/>
          <w:b/>
          <w:color w:val="000000"/>
          <w:spacing w:val="-136"/>
          <w:sz w:val="36"/>
        </w:rPr>
        <w:t>、</w:t>
      </w:r>
      <w:r>
        <w:rPr>
          <w:rFonts w:ascii="Mdkdmhle+SimSun" w:hAnsi="Mdkdmhle+SimSun" w:eastAsia="Mdkdmhle+SimSun"/>
          <w:b/>
          <w:color w:val="000000"/>
          <w:spacing w:val="-34"/>
          <w:sz w:val="36"/>
        </w:rPr>
        <w:t>科</w:t>
      </w:r>
      <w:r>
        <w:rPr>
          <w:rFonts w:ascii="Mdkdmhle+SimSun" w:hAnsi="Mdkdmhle+SimSun" w:eastAsia="Mdkdmhle+SimSun"/>
          <w:b/>
          <w:color w:val="000000"/>
          <w:spacing w:val="-30"/>
          <w:sz w:val="36"/>
        </w:rPr>
        <w:t>技</w:t>
      </w:r>
      <w:r>
        <w:rPr>
          <w:rFonts w:ascii="Mdkdmhle+SimSun" w:hAnsi="Mdkdmhle+SimSun" w:eastAsia="Mdkdmhle+SimSun"/>
          <w:b/>
          <w:color w:val="000000"/>
          <w:spacing w:val="-34"/>
          <w:sz w:val="36"/>
        </w:rPr>
        <w:t>进</w:t>
      </w:r>
      <w:r>
        <w:rPr>
          <w:rFonts w:ascii="Mdkdmhle+SimSun" w:hAnsi="Mdkdmhle+SimSun" w:eastAsia="Mdkdmhle+SimSun"/>
          <w:b/>
          <w:color w:val="000000"/>
          <w:spacing w:val="-32"/>
          <w:sz w:val="36"/>
        </w:rPr>
        <w:t>步</w:t>
      </w:r>
      <w:r>
        <w:rPr>
          <w:rFonts w:ascii="Mdkdmhle+SimSun" w:hAnsi="Mdkdmhle+SimSun" w:eastAsia="Mdkdmhle+SimSun"/>
          <w:b/>
          <w:color w:val="000000"/>
          <w:spacing w:val="-34"/>
          <w:sz w:val="36"/>
        </w:rPr>
        <w:t>奖</w:t>
      </w:r>
      <w:r>
        <w:rPr>
          <w:rFonts w:ascii="Mdkdmhle+SimSun" w:hAnsi="Mdkdmhle+SimSun" w:eastAsia="Mdkdmhle+SimSun"/>
          <w:b/>
          <w:color w:val="000000"/>
          <w:spacing w:val="-136"/>
          <w:sz w:val="36"/>
        </w:rPr>
        <w:t>、</w:t>
      </w:r>
      <w:r>
        <w:rPr>
          <w:rFonts w:ascii="Mdkdmhle+SimSun" w:hAnsi="Mdkdmhle+SimSun" w:eastAsia="Mdkdmhle+SimSun"/>
          <w:b/>
          <w:color w:val="000000"/>
          <w:spacing w:val="-34"/>
          <w:sz w:val="36"/>
        </w:rPr>
        <w:t>科</w:t>
      </w:r>
      <w:r>
        <w:rPr>
          <w:rFonts w:ascii="Mdkdmhle+SimSun" w:hAnsi="Mdkdmhle+SimSun" w:eastAsia="Mdkdmhle+SimSun"/>
          <w:b/>
          <w:color w:val="000000"/>
          <w:spacing w:val="-30"/>
          <w:sz w:val="36"/>
        </w:rPr>
        <w:t>技</w:t>
      </w:r>
      <w:r>
        <w:rPr>
          <w:rFonts w:ascii="Mdkdmhle+SimSun" w:hAnsi="Mdkdmhle+SimSun" w:eastAsia="Mdkdmhle+SimSun"/>
          <w:b/>
          <w:color w:val="000000"/>
          <w:spacing w:val="-34"/>
          <w:sz w:val="36"/>
        </w:rPr>
        <w:t>成</w:t>
      </w:r>
      <w:r>
        <w:rPr>
          <w:rFonts w:ascii="Mdkdmhle+SimSun" w:hAnsi="Mdkdmhle+SimSun" w:eastAsia="Mdkdmhle+SimSun"/>
          <w:b/>
          <w:color w:val="000000"/>
          <w:spacing w:val="-32"/>
          <w:sz w:val="36"/>
        </w:rPr>
        <w:t>果</w:t>
      </w:r>
      <w:r>
        <w:rPr>
          <w:rFonts w:ascii="Mdkdmhle+SimSun" w:hAnsi="Mdkdmhle+SimSun" w:eastAsia="Mdkdmhle+SimSun"/>
          <w:b/>
          <w:color w:val="000000"/>
          <w:spacing w:val="-34"/>
          <w:sz w:val="36"/>
        </w:rPr>
        <w:t>推</w:t>
      </w:r>
      <w:r>
        <w:rPr>
          <w:rFonts w:ascii="Mdkdmhle+SimSun" w:hAnsi="Mdkdmhle+SimSun" w:eastAsia="Mdkdmhle+SimSun"/>
          <w:b/>
          <w:color w:val="000000"/>
          <w:spacing w:val="-30"/>
          <w:sz w:val="36"/>
        </w:rPr>
        <w:t>广</w:t>
      </w:r>
      <w:r>
        <w:rPr>
          <w:rFonts w:ascii="Mdkdmhle+SimSun" w:hAnsi="Mdkdmhle+SimSun" w:eastAsia="Mdkdmhle+SimSun"/>
          <w:b/>
          <w:color w:val="000000"/>
          <w:spacing w:val="-34"/>
          <w:sz w:val="36"/>
        </w:rPr>
        <w:t>奖格</w:t>
      </w:r>
      <w:r>
        <w:rPr>
          <w:rFonts w:ascii="Mdkdmhle+SimSun" w:hAnsi="Mdkdmhle+SimSun" w:eastAsia="Mdkdmhle+SimSun"/>
          <w:b/>
          <w:color w:val="000000"/>
          <w:spacing w:val="-30"/>
          <w:sz w:val="36"/>
        </w:rPr>
        <w:t>式</w:t>
      </w:r>
      <w:r>
        <w:rPr>
          <w:rFonts w:ascii="Mdkdmhle+SimSun" w:hAnsi="Mdkdmhle+SimSun" w:eastAsia="Mdkdmhle+SimSun"/>
          <w:b/>
          <w:color w:val="000000"/>
          <w:sz w:val="36"/>
        </w:rPr>
        <w:t>）</w:t>
      </w:r>
    </w:p>
    <w:p>
      <w:pPr>
        <w:widowControl/>
        <w:jc w:val="left"/>
        <w:rPr>
          <w:rFonts w:ascii="9n4wAoe0+TimesNewRomanPSMT" w:hAnsi="9n4wAoe0+TimesNewRomanPSMT" w:eastAsia="9n4wAoe0+TimesNewRomanPSMT"/>
          <w:color w:val="000000"/>
        </w:rPr>
      </w:pPr>
    </w:p>
    <w:tbl>
      <w:tblPr>
        <w:tblStyle w:val="3"/>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7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Align w:val="center"/>
          </w:tcPr>
          <w:p>
            <w:pPr>
              <w:keepNext w:val="0"/>
              <w:keepLines w:val="0"/>
              <w:widowControl/>
              <w:suppressLineNumbers w:val="0"/>
              <w:autoSpaceDE w:val="0"/>
              <w:autoSpaceDN w:val="0"/>
              <w:spacing w:before="0" w:beforeAutospacing="0" w:after="0" w:afterAutospacing="0"/>
              <w:ind w:left="0" w:right="0"/>
              <w:jc w:val="center"/>
              <w:rPr>
                <w:rFonts w:hint="default" w:eastAsia="宋体"/>
              </w:rPr>
            </w:pPr>
            <w:r>
              <w:rPr>
                <w:rFonts w:hint="eastAsia" w:ascii="Y2kIRTz1+FangSong" w:hAnsi="Y2kIRTz1+FangSong" w:eastAsia="Y2kIRTz1+FangSong"/>
                <w:b/>
                <w:color w:val="000000"/>
                <w:spacing w:val="2"/>
              </w:rPr>
              <w:t>学科、专业评审组</w:t>
            </w:r>
          </w:p>
        </w:tc>
        <w:tc>
          <w:tcPr>
            <w:tcW w:w="7938" w:type="dxa"/>
            <w:vAlign w:val="center"/>
          </w:tcPr>
          <w:p>
            <w:pPr>
              <w:keepNext w:val="0"/>
              <w:keepLines w:val="0"/>
              <w:widowControl/>
              <w:suppressLineNumbers w:val="0"/>
              <w:autoSpaceDE w:val="0"/>
              <w:autoSpaceDN w:val="0"/>
              <w:spacing w:before="0" w:beforeAutospacing="0" w:after="0" w:afterAutospacing="0" w:line="232" w:lineRule="exact"/>
              <w:ind w:left="0" w:right="0"/>
              <w:jc w:val="left"/>
              <w:rPr>
                <w:rFonts w:hint="eastAsia" w:ascii="Y2kIRTz1+FangSong" w:hAnsi="Y2kIRTz1+FangSong" w:eastAsia="Y2kIRTz1+FangSong"/>
                <w:color w:val="000000"/>
              </w:rPr>
            </w:pPr>
            <w:r>
              <w:rPr>
                <w:rFonts w:hint="eastAsia" w:ascii="Y2kIRTz1+FangSong" w:hAnsi="Y2kIRTz1+FangSong" w:eastAsia="Y2kIRTz1+FangSong"/>
                <w:color w:val="000000"/>
              </w:rPr>
              <w:t>中医与中药学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Align w:val="center"/>
          </w:tcPr>
          <w:p>
            <w:pPr>
              <w:keepNext w:val="0"/>
              <w:keepLines w:val="0"/>
              <w:widowControl/>
              <w:suppressLineNumbers w:val="0"/>
              <w:autoSpaceDE w:val="0"/>
              <w:autoSpaceDN w:val="0"/>
              <w:spacing w:before="0" w:beforeAutospacing="0" w:after="0" w:afterAutospacing="0"/>
              <w:ind w:left="0" w:right="0"/>
              <w:jc w:val="center"/>
              <w:rPr>
                <w:rFonts w:hint="default" w:ascii="Y2kIRTz1+FangSong" w:hAnsi="Y2kIRTz1+FangSong" w:eastAsia="Y2kIRTz1+FangSong"/>
                <w:b/>
                <w:color w:val="000000"/>
                <w:spacing w:val="2"/>
              </w:rPr>
            </w:pPr>
            <w:r>
              <w:rPr>
                <w:rFonts w:hint="eastAsia" w:ascii="Y2kIRTz1+FangSong" w:hAnsi="Y2kIRTz1+FangSong" w:eastAsia="Y2kIRTz1+FangSong"/>
                <w:b/>
                <w:color w:val="000000"/>
                <w:spacing w:val="2"/>
              </w:rPr>
              <w:t>项目名称</w:t>
            </w:r>
          </w:p>
        </w:tc>
        <w:tc>
          <w:tcPr>
            <w:tcW w:w="7938" w:type="dxa"/>
            <w:vAlign w:val="center"/>
          </w:tcPr>
          <w:p>
            <w:pPr>
              <w:keepNext w:val="0"/>
              <w:keepLines w:val="0"/>
              <w:widowControl/>
              <w:suppressLineNumbers w:val="0"/>
              <w:autoSpaceDE w:val="0"/>
              <w:autoSpaceDN w:val="0"/>
              <w:spacing w:before="0" w:beforeAutospacing="0" w:after="0" w:afterAutospacing="0" w:line="232" w:lineRule="exact"/>
              <w:ind w:left="0" w:right="0"/>
              <w:jc w:val="left"/>
              <w:rPr>
                <w:rFonts w:hint="eastAsia" w:ascii="Y2kIRTz1+FangSong" w:hAnsi="Y2kIRTz1+FangSong" w:eastAsia="Y2kIRTz1+FangSong"/>
                <w:color w:val="000000"/>
              </w:rPr>
            </w:pPr>
            <w:r>
              <w:rPr>
                <w:rFonts w:hint="eastAsia" w:ascii="Y2kIRTz1+FangSong" w:hAnsi="Y2kIRTz1+FangSong" w:eastAsia="Y2kIRTz1+FangSong"/>
                <w:color w:val="000000"/>
              </w:rPr>
              <w:t>中医药“从经验到循证”关键技术的创建与应用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Align w:val="center"/>
          </w:tcPr>
          <w:p>
            <w:pPr>
              <w:keepNext w:val="0"/>
              <w:keepLines w:val="0"/>
              <w:widowControl/>
              <w:suppressLineNumbers w:val="0"/>
              <w:autoSpaceDE w:val="0"/>
              <w:autoSpaceDN w:val="0"/>
              <w:spacing w:before="0" w:beforeAutospacing="0" w:after="0" w:afterAutospacing="0"/>
              <w:ind w:left="0" w:right="0"/>
              <w:jc w:val="center"/>
              <w:rPr>
                <w:rFonts w:hint="default" w:ascii="Y2kIRTz1+FangSong" w:hAnsi="Y2kIRTz1+FangSong" w:eastAsia="Y2kIRTz1+FangSong"/>
                <w:b/>
                <w:color w:val="000000"/>
                <w:spacing w:val="2"/>
              </w:rPr>
            </w:pPr>
            <w:r>
              <w:rPr>
                <w:rFonts w:hint="eastAsia" w:ascii="Y2kIRTz1+FangSong" w:hAnsi="Y2kIRTz1+FangSong" w:eastAsia="Y2kIRTz1+FangSong"/>
                <w:b/>
                <w:color w:val="000000"/>
                <w:spacing w:val="2"/>
              </w:rPr>
              <w:t>提名者</w:t>
            </w:r>
          </w:p>
        </w:tc>
        <w:tc>
          <w:tcPr>
            <w:tcW w:w="7938" w:type="dxa"/>
            <w:vAlign w:val="center"/>
          </w:tcPr>
          <w:p>
            <w:pPr>
              <w:keepNext w:val="0"/>
              <w:keepLines w:val="0"/>
              <w:widowControl/>
              <w:suppressLineNumbers w:val="0"/>
              <w:autoSpaceDE w:val="0"/>
              <w:autoSpaceDN w:val="0"/>
              <w:spacing w:before="0" w:beforeAutospacing="0" w:after="0" w:afterAutospacing="0" w:line="232" w:lineRule="exact"/>
              <w:ind w:left="0" w:right="0"/>
              <w:jc w:val="left"/>
              <w:rPr>
                <w:rFonts w:hint="eastAsia" w:ascii="Y2kIRTz1+FangSong" w:hAnsi="Y2kIRTz1+FangSong" w:eastAsia="Y2kIRTz1+FangSong"/>
                <w:color w:val="000000"/>
              </w:rPr>
            </w:pPr>
            <w:r>
              <w:rPr>
                <w:rFonts w:hint="eastAsia" w:ascii="Y2kIRTz1+FangSong" w:hAnsi="Y2kIRTz1+FangSong" w:eastAsia="Y2kIRTz1+FangSong"/>
                <w:color w:val="000000"/>
              </w:rPr>
              <w:t>广东省中医药局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809" w:type="dxa"/>
            <w:vMerge w:val="restart"/>
            <w:vAlign w:val="center"/>
          </w:tcPr>
          <w:p>
            <w:pPr>
              <w:keepNext w:val="0"/>
              <w:keepLines w:val="0"/>
              <w:widowControl/>
              <w:suppressLineNumbers w:val="0"/>
              <w:autoSpaceDE w:val="0"/>
              <w:autoSpaceDN w:val="0"/>
              <w:spacing w:before="0" w:beforeAutospacing="0" w:after="0" w:afterAutospacing="0"/>
              <w:ind w:left="0" w:right="0"/>
              <w:jc w:val="center"/>
              <w:rPr>
                <w:rFonts w:hint="default" w:ascii="Y2kIRTz1+FangSong" w:hAnsi="Y2kIRTz1+FangSong" w:eastAsia="Y2kIRTz1+FangSong"/>
                <w:b/>
                <w:color w:val="000000"/>
                <w:spacing w:val="2"/>
              </w:rPr>
            </w:pPr>
            <w:r>
              <w:rPr>
                <w:rFonts w:hint="eastAsia" w:ascii="Y2kIRTz1+FangSong" w:hAnsi="Y2kIRTz1+FangSong" w:eastAsia="Y2kIRTz1+FangSong"/>
                <w:b/>
                <w:color w:val="000000"/>
                <w:spacing w:val="2"/>
              </w:rPr>
              <w:t>主要完成单位</w:t>
            </w:r>
          </w:p>
        </w:tc>
        <w:tc>
          <w:tcPr>
            <w:tcW w:w="7938" w:type="dxa"/>
            <w:vAlign w:val="center"/>
          </w:tcPr>
          <w:p>
            <w:pPr>
              <w:keepNext w:val="0"/>
              <w:keepLines w:val="0"/>
              <w:widowControl/>
              <w:suppressLineNumbers w:val="0"/>
              <w:autoSpaceDE w:val="0"/>
              <w:autoSpaceDN w:val="0"/>
              <w:spacing w:before="0" w:beforeAutospacing="0" w:after="0" w:afterAutospacing="0" w:line="232" w:lineRule="exact"/>
              <w:ind w:left="0" w:right="0"/>
              <w:jc w:val="left"/>
              <w:rPr>
                <w:rFonts w:hint="default" w:eastAsia="宋体"/>
              </w:rPr>
            </w:pPr>
            <w:r>
              <w:rPr>
                <w:rFonts w:hint="eastAsia" w:ascii="Y2kIRTz1+FangSong" w:hAnsi="Y2kIRTz1+FangSong" w:eastAsia="Y2kIRTz1+FangSong"/>
                <w:color w:val="000000"/>
              </w:rPr>
              <w:t>广州中医药大学第二附属医院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default" w:ascii="Y2kIRTz1+FangSong" w:hAnsi="Y2kIRTz1+FangSong" w:eastAsia="Y2kIRTz1+FangSong"/>
                <w:b/>
                <w:color w:val="000000"/>
                <w:spacing w:val="2"/>
              </w:rPr>
            </w:pPr>
          </w:p>
        </w:tc>
        <w:tc>
          <w:tcPr>
            <w:tcW w:w="7938" w:type="dxa"/>
            <w:vAlign w:val="center"/>
          </w:tcPr>
          <w:p>
            <w:pPr>
              <w:keepNext w:val="0"/>
              <w:keepLines w:val="0"/>
              <w:suppressLineNumbers w:val="0"/>
              <w:autoSpaceDE w:val="0"/>
              <w:autoSpaceDN w:val="0"/>
              <w:spacing w:before="0" w:beforeAutospacing="0" w:after="0" w:afterAutospacing="0"/>
              <w:ind w:left="0" w:right="0"/>
              <w:jc w:val="left"/>
              <w:rPr>
                <w:rFonts w:hint="default" w:ascii="Y2kIRTz1+FangSong" w:hAnsi="Y2kIRTz1+FangSong" w:eastAsia="Y2kIRTz1+FangSong"/>
                <w:b/>
                <w:color w:val="000000"/>
                <w:spacing w:val="2"/>
              </w:rPr>
            </w:pPr>
            <w:r>
              <w:rPr>
                <w:rFonts w:hint="eastAsia" w:ascii="Y2kIRTz1+FangSong" w:hAnsi="Y2kIRTz1+FangSong" w:eastAsia="Y2kIRTz1+FangSong"/>
                <w:color w:val="000000"/>
              </w:rPr>
              <w:t>北京中医药大学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restart"/>
            <w:vAlign w:val="center"/>
          </w:tcPr>
          <w:p>
            <w:pPr>
              <w:keepNext w:val="0"/>
              <w:keepLines w:val="0"/>
              <w:widowControl/>
              <w:suppressLineNumbers w:val="0"/>
              <w:autoSpaceDE w:val="0"/>
              <w:autoSpaceDN w:val="0"/>
              <w:spacing w:before="0" w:beforeAutospacing="0" w:after="0" w:afterAutospacing="0"/>
              <w:ind w:left="0" w:right="0"/>
              <w:jc w:val="center"/>
              <w:rPr>
                <w:rFonts w:hint="default" w:ascii="Y2kIRTz1+FangSong" w:hAnsi="Y2kIRTz1+FangSong" w:eastAsia="Y2kIRTz1+FangSong"/>
                <w:b/>
                <w:color w:val="000000"/>
                <w:spacing w:val="2"/>
              </w:rPr>
            </w:pPr>
            <w:r>
              <w:rPr>
                <w:rFonts w:hint="eastAsia" w:ascii="Y2kIRTz1+FangSong" w:hAnsi="Y2kIRTz1+FangSong" w:eastAsia="Y2kIRTz1+FangSong"/>
                <w:b/>
                <w:color w:val="000000"/>
                <w:spacing w:val="2"/>
              </w:rPr>
              <w:t>主要完成人</w:t>
            </w:r>
          </w:p>
          <w:p>
            <w:pPr>
              <w:keepNext w:val="0"/>
              <w:keepLines w:val="0"/>
              <w:widowControl/>
              <w:suppressLineNumbers w:val="0"/>
              <w:autoSpaceDE w:val="0"/>
              <w:autoSpaceDN w:val="0"/>
              <w:spacing w:before="0" w:beforeAutospacing="0" w:after="0" w:afterAutospacing="0"/>
              <w:ind w:left="0" w:right="0"/>
              <w:jc w:val="center"/>
              <w:rPr>
                <w:rFonts w:hint="default" w:ascii="Y2kIRTz1+FangSong" w:hAnsi="Y2kIRTz1+FangSong" w:eastAsia="Y2kIRTz1+FangSong"/>
                <w:b/>
                <w:color w:val="000000"/>
                <w:spacing w:val="2"/>
              </w:rPr>
            </w:pPr>
            <w:r>
              <w:rPr>
                <w:rFonts w:hint="eastAsia" w:ascii="Y2kIRTz1+FangSong" w:hAnsi="Y2kIRTz1+FangSong" w:eastAsia="Y2kIRTz1+FangSong"/>
                <w:b/>
                <w:color w:val="000000"/>
                <w:spacing w:val="2"/>
              </w:rPr>
              <w:t>（职称、完成单位、工作单位）</w:t>
            </w:r>
          </w:p>
        </w:tc>
        <w:tc>
          <w:tcPr>
            <w:tcW w:w="7938" w:type="dxa"/>
            <w:vAlign w:val="center"/>
          </w:tcPr>
          <w:p>
            <w:pPr>
              <w:keepNext w:val="0"/>
              <w:keepLines w:val="0"/>
              <w:suppressLineNumbers w:val="0"/>
              <w:autoSpaceDE w:val="0"/>
              <w:autoSpaceDN w:val="0"/>
              <w:spacing w:before="0" w:beforeAutospacing="0" w:after="0" w:afterAutospacing="0"/>
              <w:ind w:left="0" w:right="0"/>
              <w:jc w:val="left"/>
              <w:rPr>
                <w:rFonts w:hint="eastAsia" w:ascii="9n4wAoe0+TimesNewRomanPSMT" w:hAnsi="9n4wAoe0+TimesNewRomanPSMT" w:eastAsia="9n4wAoe0+TimesNewRomanPSMT"/>
                <w:color w:val="000000"/>
                <w:spacing w:val="2"/>
              </w:rPr>
            </w:pPr>
            <w:r>
              <w:rPr>
                <w:rFonts w:hint="eastAsia" w:ascii="9n4wAoe0+TimesNewRomanPSMT" w:hAnsi="9n4wAoe0+TimesNewRomanPSMT" w:eastAsia="9n4wAoe0+TimesNewRomanPSMT"/>
                <w:color w:val="000000"/>
                <w:spacing w:val="2"/>
                <w:lang w:val="en-US" w:eastAsia="zh-CN"/>
              </w:rPr>
              <w:t>1.卢传坚，教授，广州中医药大学第二附属医院，广州中医药大学第二附属医院。项目总负责人，提出构建中医药“从经验到循证”整体证据方法体系，在项目整体推进、研究过程质量控制、成果推广等起主导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eastAsia" w:ascii="Y2kIRTz1+FangSong" w:hAnsi="Y2kIRTz1+FangSong" w:eastAsia="Y2kIRTz1+FangSong"/>
                <w:b/>
                <w:color w:val="000000"/>
                <w:spacing w:val="2"/>
              </w:rPr>
            </w:pPr>
          </w:p>
        </w:tc>
        <w:tc>
          <w:tcPr>
            <w:tcW w:w="7938" w:type="dxa"/>
            <w:vAlign w:val="center"/>
          </w:tcPr>
          <w:p>
            <w:pPr>
              <w:keepNext w:val="0"/>
              <w:keepLines w:val="0"/>
              <w:suppressLineNumbers w:val="0"/>
              <w:autoSpaceDE w:val="0"/>
              <w:autoSpaceDN w:val="0"/>
              <w:spacing w:before="0" w:beforeAutospacing="0" w:after="0" w:afterAutospacing="0"/>
              <w:ind w:left="0" w:right="0"/>
              <w:jc w:val="left"/>
              <w:rPr>
                <w:rFonts w:hint="eastAsia" w:ascii="9n4wAoe0+TimesNewRomanPSMT" w:hAnsi="9n4wAoe0+TimesNewRomanPSMT" w:eastAsia="9n4wAoe0+TimesNewRomanPSMT"/>
                <w:color w:val="000000"/>
                <w:spacing w:val="2"/>
              </w:rPr>
            </w:pPr>
            <w:r>
              <w:rPr>
                <w:rFonts w:hint="eastAsia" w:ascii="9n4wAoe0+TimesNewRomanPSMT" w:hAnsi="9n4wAoe0+TimesNewRomanPSMT" w:eastAsia="9n4wAoe0+TimesNewRomanPSMT"/>
                <w:color w:val="000000"/>
                <w:spacing w:val="2"/>
                <w:lang w:val="en-US" w:eastAsia="zh-CN"/>
              </w:rPr>
              <w:t>2.刘建平，教授，北京中医药大学，北京中医药大学。主导建立传统医学证据体的分级建议和证据等级升降级标准，合作共建中医临床实践指南制修订方法体系。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eastAsia" w:ascii="Y2kIRTz1+FangSong" w:hAnsi="Y2kIRTz1+FangSong" w:eastAsia="Y2kIRTz1+FangSong"/>
                <w:b/>
                <w:color w:val="000000"/>
                <w:spacing w:val="2"/>
              </w:rPr>
            </w:pPr>
          </w:p>
        </w:tc>
        <w:tc>
          <w:tcPr>
            <w:tcW w:w="7938" w:type="dxa"/>
            <w:vAlign w:val="center"/>
          </w:tcPr>
          <w:p>
            <w:pPr>
              <w:keepNext w:val="0"/>
              <w:keepLines w:val="0"/>
              <w:suppressLineNumbers w:val="0"/>
              <w:autoSpaceDE w:val="0"/>
              <w:autoSpaceDN w:val="0"/>
              <w:spacing w:before="0" w:beforeAutospacing="0" w:after="0" w:afterAutospacing="0"/>
              <w:ind w:left="0" w:right="0"/>
              <w:jc w:val="left"/>
              <w:rPr>
                <w:rFonts w:hint="eastAsia" w:ascii="9n4wAoe0+TimesNewRomanPSMT" w:hAnsi="9n4wAoe0+TimesNewRomanPSMT" w:eastAsia="9n4wAoe0+TimesNewRomanPSMT"/>
                <w:color w:val="000000"/>
                <w:spacing w:val="2"/>
              </w:rPr>
            </w:pPr>
            <w:r>
              <w:rPr>
                <w:rFonts w:hint="eastAsia" w:ascii="9n4wAoe0+TimesNewRomanPSMT" w:hAnsi="9n4wAoe0+TimesNewRomanPSMT" w:eastAsia="9n4wAoe0+TimesNewRomanPSMT"/>
                <w:color w:val="000000"/>
                <w:spacing w:val="2"/>
                <w:lang w:val="en-US" w:eastAsia="zh-CN"/>
              </w:rPr>
              <w:t>3.吕玉波，研究员，广州中医药大学第二附属医院，广州中医药大学第二附属医院。在引入中医药循证概念、主导中医药整体证据建立、评价和推广等方面发挥关键作用。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eastAsia" w:ascii="Y2kIRTz1+FangSong" w:hAnsi="Y2kIRTz1+FangSong" w:eastAsia="Y2kIRTz1+FangSong"/>
                <w:b/>
                <w:color w:val="000000"/>
                <w:spacing w:val="2"/>
              </w:rPr>
            </w:pPr>
          </w:p>
        </w:tc>
        <w:tc>
          <w:tcPr>
            <w:tcW w:w="7938" w:type="dxa"/>
            <w:vAlign w:val="center"/>
          </w:tcPr>
          <w:p>
            <w:pPr>
              <w:keepNext w:val="0"/>
              <w:keepLines w:val="0"/>
              <w:suppressLineNumbers w:val="0"/>
              <w:autoSpaceDE w:val="0"/>
              <w:autoSpaceDN w:val="0"/>
              <w:spacing w:before="0" w:beforeAutospacing="0" w:after="0" w:afterAutospacing="0"/>
              <w:ind w:left="0" w:right="0"/>
              <w:jc w:val="left"/>
              <w:rPr>
                <w:rFonts w:hint="eastAsia" w:ascii="9n4wAoe0+TimesNewRomanPSMT" w:hAnsi="9n4wAoe0+TimesNewRomanPSMT" w:eastAsia="9n4wAoe0+TimesNewRomanPSMT"/>
                <w:color w:val="000000"/>
                <w:spacing w:val="2"/>
              </w:rPr>
            </w:pPr>
            <w:r>
              <w:rPr>
                <w:rFonts w:hint="eastAsia" w:ascii="9n4wAoe0+TimesNewRomanPSMT" w:hAnsi="9n4wAoe0+TimesNewRomanPSMT" w:eastAsia="9n4wAoe0+TimesNewRomanPSMT"/>
                <w:color w:val="000000"/>
                <w:spacing w:val="2"/>
                <w:lang w:val="en-US" w:eastAsia="zh-CN"/>
              </w:rPr>
              <w:t>4.郭新峰，研究员，广州中医药大学第二附属医院，广州中医药大学第二附属医院。率先提出建立中医病症诊断相似度评价标准，在整体证据项目的技术方法、整体推进、方向性把握、成果推广方面起到重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eastAsia" w:ascii="Y2kIRTz1+FangSong" w:hAnsi="Y2kIRTz1+FangSong" w:eastAsia="Y2kIRTz1+FangSong"/>
                <w:b/>
                <w:color w:val="000000"/>
                <w:spacing w:val="2"/>
              </w:rPr>
            </w:pPr>
          </w:p>
        </w:tc>
        <w:tc>
          <w:tcPr>
            <w:tcW w:w="7938" w:type="dxa"/>
            <w:vAlign w:val="center"/>
          </w:tcPr>
          <w:p>
            <w:pPr>
              <w:keepNext w:val="0"/>
              <w:keepLines w:val="0"/>
              <w:suppressLineNumbers w:val="0"/>
              <w:autoSpaceDE w:val="0"/>
              <w:autoSpaceDN w:val="0"/>
              <w:spacing w:before="0" w:beforeAutospacing="0" w:after="0" w:afterAutospacing="0"/>
              <w:ind w:left="0" w:right="0"/>
              <w:jc w:val="left"/>
              <w:rPr>
                <w:rFonts w:hint="eastAsia" w:ascii="9n4wAoe0+TimesNewRomanPSMT" w:hAnsi="9n4wAoe0+TimesNewRomanPSMT" w:eastAsia="9n4wAoe0+TimesNewRomanPSMT"/>
                <w:color w:val="000000"/>
                <w:spacing w:val="2"/>
              </w:rPr>
            </w:pPr>
            <w:r>
              <w:rPr>
                <w:rFonts w:hint="eastAsia" w:ascii="9n4wAoe0+TimesNewRomanPSMT" w:hAnsi="9n4wAoe0+TimesNewRomanPSMT" w:eastAsia="9n4wAoe0+TimesNewRomanPSMT"/>
                <w:color w:val="000000"/>
                <w:spacing w:val="2"/>
                <w:lang w:val="en-US" w:eastAsia="zh-CN"/>
              </w:rPr>
              <w:t>5.李慧，主任医师，广州中医药大学第二附属医院，广州中医药大学第二附属医院。主要参与中医临床实践指南制修订方法体系创建，在该体系的构建思路、框架、主要内容确定及成果推广方面起主导作用。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eastAsia" w:ascii="Y2kIRTz1+FangSong" w:hAnsi="Y2kIRTz1+FangSong" w:eastAsia="Y2kIRTz1+FangSong"/>
                <w:b/>
                <w:color w:val="000000"/>
                <w:spacing w:val="2"/>
              </w:rPr>
            </w:pPr>
          </w:p>
        </w:tc>
        <w:tc>
          <w:tcPr>
            <w:tcW w:w="7938" w:type="dxa"/>
            <w:vAlign w:val="center"/>
          </w:tcPr>
          <w:p>
            <w:pPr>
              <w:keepNext w:val="0"/>
              <w:keepLines w:val="0"/>
              <w:suppressLineNumbers w:val="0"/>
              <w:autoSpaceDE w:val="0"/>
              <w:autoSpaceDN w:val="0"/>
              <w:spacing w:before="0" w:beforeAutospacing="0" w:after="0" w:afterAutospacing="0"/>
              <w:ind w:left="0" w:right="0"/>
              <w:jc w:val="left"/>
              <w:rPr>
                <w:rFonts w:hint="eastAsia" w:ascii="9n4wAoe0+TimesNewRomanPSMT" w:hAnsi="9n4wAoe0+TimesNewRomanPSMT" w:eastAsia="9n4wAoe0+TimesNewRomanPSMT"/>
                <w:color w:val="000000"/>
                <w:spacing w:val="2"/>
              </w:rPr>
            </w:pPr>
            <w:r>
              <w:rPr>
                <w:rFonts w:hint="eastAsia" w:ascii="9n4wAoe0+TimesNewRomanPSMT" w:hAnsi="9n4wAoe0+TimesNewRomanPSMT" w:eastAsia="9n4wAoe0+TimesNewRomanPSMT"/>
                <w:color w:val="000000"/>
                <w:spacing w:val="2"/>
                <w:lang w:val="en-US" w:eastAsia="zh-CN"/>
              </w:rPr>
              <w:t>6.吴大嵘，主任医师，广州中医药大学第二附属医院，广州中医药大学第二附属医院。参与创建中医临床路径的制修订方法体系，在该方法体系的构建思路、框架、主要内容的确定及成果推广方面起到主导作用。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70"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eastAsia" w:ascii="Y2kIRTz1+FangSong" w:hAnsi="Y2kIRTz1+FangSong" w:eastAsia="Y2kIRTz1+FangSong"/>
                <w:b/>
                <w:color w:val="000000"/>
                <w:spacing w:val="2"/>
              </w:rPr>
            </w:pPr>
          </w:p>
        </w:tc>
        <w:tc>
          <w:tcPr>
            <w:tcW w:w="7938" w:type="dxa"/>
            <w:vAlign w:val="center"/>
          </w:tcPr>
          <w:p>
            <w:pPr>
              <w:keepNext w:val="0"/>
              <w:keepLines w:val="0"/>
              <w:suppressLineNumbers w:val="0"/>
              <w:autoSpaceDE w:val="0"/>
              <w:autoSpaceDN w:val="0"/>
              <w:spacing w:before="0" w:beforeAutospacing="0" w:after="0" w:afterAutospacing="0"/>
              <w:ind w:left="0" w:right="0"/>
              <w:jc w:val="left"/>
              <w:rPr>
                <w:rFonts w:hint="eastAsia" w:ascii="9n4wAoe0+TimesNewRomanPSMT" w:hAnsi="9n4wAoe0+TimesNewRomanPSMT" w:eastAsia="9n4wAoe0+TimesNewRomanPSMT"/>
                <w:color w:val="000000"/>
                <w:spacing w:val="2"/>
              </w:rPr>
            </w:pPr>
            <w:r>
              <w:rPr>
                <w:rFonts w:hint="eastAsia" w:ascii="9n4wAoe0+TimesNewRomanPSMT" w:hAnsi="9n4wAoe0+TimesNewRomanPSMT" w:eastAsia="9n4wAoe0+TimesNewRomanPSMT"/>
                <w:color w:val="000000"/>
                <w:spacing w:val="2"/>
                <w:lang w:val="en-US" w:eastAsia="zh-CN"/>
              </w:rPr>
              <w:t>7.陈薇，研究员，北京中医药大学，北京中医药大学。参与建立中医药疗效与安全性评价的证据质量分级标准和证据等级升降级标准，合作共建中医临床实践指南制修订方法体系。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eastAsia" w:ascii="Y2kIRTz1+FangSong" w:hAnsi="Y2kIRTz1+FangSong" w:eastAsia="Y2kIRTz1+FangSong"/>
                <w:b/>
                <w:color w:val="000000"/>
                <w:spacing w:val="2"/>
              </w:rPr>
            </w:pPr>
          </w:p>
        </w:tc>
        <w:tc>
          <w:tcPr>
            <w:tcW w:w="7938" w:type="dxa"/>
            <w:vAlign w:val="center"/>
          </w:tcPr>
          <w:p>
            <w:pPr>
              <w:keepNext w:val="0"/>
              <w:keepLines w:val="0"/>
              <w:suppressLineNumbers w:val="0"/>
              <w:autoSpaceDE w:val="0"/>
              <w:autoSpaceDN w:val="0"/>
              <w:spacing w:before="0" w:beforeAutospacing="0" w:after="0" w:afterAutospacing="0"/>
              <w:ind w:left="0" w:right="0"/>
              <w:jc w:val="left"/>
              <w:rPr>
                <w:rFonts w:hint="eastAsia" w:ascii="9n4wAoe0+TimesNewRomanPSMT" w:hAnsi="9n4wAoe0+TimesNewRomanPSMT" w:eastAsia="9n4wAoe0+TimesNewRomanPSMT"/>
                <w:color w:val="000000"/>
                <w:spacing w:val="2"/>
              </w:rPr>
            </w:pPr>
            <w:r>
              <w:rPr>
                <w:rFonts w:hint="eastAsia" w:ascii="9n4wAoe0+TimesNewRomanPSMT" w:hAnsi="9n4wAoe0+TimesNewRomanPSMT" w:eastAsia="9n4wAoe0+TimesNewRomanPSMT"/>
                <w:color w:val="000000"/>
                <w:spacing w:val="2"/>
                <w:lang w:val="en-US" w:eastAsia="zh-CN"/>
              </w:rPr>
              <w:t>8. 刘少南，副研究员，广州中医药大学第二附属医院，广州中医药大学第二附属医院。主要负责整体证据中医药传承创新方法中古籍到现代证据检索、筛选、分析和评价全过程的具体培训及各临床专科的推广工作。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eastAsia" w:ascii="Y2kIRTz1+FangSong" w:hAnsi="Y2kIRTz1+FangSong" w:eastAsia="Y2kIRTz1+FangSong"/>
                <w:b/>
                <w:color w:val="000000"/>
                <w:spacing w:val="2"/>
              </w:rPr>
            </w:pPr>
          </w:p>
        </w:tc>
        <w:tc>
          <w:tcPr>
            <w:tcW w:w="7938" w:type="dxa"/>
            <w:vAlign w:val="center"/>
          </w:tcPr>
          <w:p>
            <w:pPr>
              <w:keepNext w:val="0"/>
              <w:keepLines w:val="0"/>
              <w:suppressLineNumbers w:val="0"/>
              <w:autoSpaceDE w:val="0"/>
              <w:autoSpaceDN w:val="0"/>
              <w:spacing w:before="0" w:beforeAutospacing="0" w:after="0" w:afterAutospacing="0"/>
              <w:ind w:left="0" w:right="0"/>
              <w:jc w:val="left"/>
              <w:rPr>
                <w:rFonts w:hint="eastAsia" w:ascii="9n4wAoe0+TimesNewRomanPSMT" w:hAnsi="9n4wAoe0+TimesNewRomanPSMT" w:eastAsia="9n4wAoe0+TimesNewRomanPSMT"/>
                <w:color w:val="000000"/>
                <w:spacing w:val="2"/>
              </w:rPr>
            </w:pPr>
            <w:r>
              <w:rPr>
                <w:rFonts w:hint="eastAsia" w:ascii="9n4wAoe0+TimesNewRomanPSMT" w:hAnsi="9n4wAoe0+TimesNewRomanPSMT" w:eastAsia="9n4wAoe0+TimesNewRomanPSMT"/>
                <w:color w:val="000000"/>
                <w:spacing w:val="2"/>
                <w:lang w:val="en-US" w:eastAsia="zh-CN"/>
              </w:rPr>
              <w:t>9. 谢秀丽，副主任医师，广州中医药大学第二附属医院，广州中医药大学第二附属医院。参与创建中医临床实践指南制修订方法体系，在该方法体系的主要内容确定及成果推广方面起到重要作用。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eastAsia" w:ascii="Y2kIRTz1+FangSong" w:hAnsi="Y2kIRTz1+FangSong" w:eastAsia="Y2kIRTz1+FangSong"/>
                <w:b/>
                <w:color w:val="000000"/>
                <w:spacing w:val="2"/>
              </w:rPr>
            </w:pPr>
          </w:p>
        </w:tc>
        <w:tc>
          <w:tcPr>
            <w:tcW w:w="7938" w:type="dxa"/>
            <w:vAlign w:val="center"/>
          </w:tcPr>
          <w:p>
            <w:pPr>
              <w:keepNext w:val="0"/>
              <w:keepLines w:val="0"/>
              <w:suppressLineNumbers w:val="0"/>
              <w:autoSpaceDE w:val="0"/>
              <w:autoSpaceDN w:val="0"/>
              <w:spacing w:before="0" w:beforeAutospacing="0" w:after="0" w:afterAutospacing="0"/>
              <w:ind w:left="0" w:right="0"/>
              <w:jc w:val="left"/>
              <w:rPr>
                <w:rFonts w:hint="eastAsia" w:ascii="9n4wAoe0+TimesNewRomanPSMT" w:hAnsi="9n4wAoe0+TimesNewRomanPSMT" w:eastAsia="9n4wAoe0+TimesNewRomanPSMT"/>
                <w:color w:val="000000"/>
                <w:spacing w:val="2"/>
              </w:rPr>
            </w:pPr>
            <w:r>
              <w:rPr>
                <w:rFonts w:hint="eastAsia" w:ascii="9n4wAoe0+TimesNewRomanPSMT" w:hAnsi="9n4wAoe0+TimesNewRomanPSMT" w:eastAsia="9n4wAoe0+TimesNewRomanPSMT"/>
                <w:color w:val="000000"/>
                <w:spacing w:val="2"/>
                <w:lang w:val="en-US" w:eastAsia="zh-CN"/>
              </w:rPr>
              <w:t>10. 邓浩，研究实习员，广州中医药大学第二附属医院，广州中医药大学第二附属医院。参与项目方法体系的构建，参与银屑病整体证据构建并进行推广应用，是项目成果整理总结的主要实施者。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36" w:hRule="atLeast"/>
        </w:trPr>
        <w:tc>
          <w:tcPr>
            <w:tcW w:w="1809" w:type="dxa"/>
            <w:vMerge w:val="restart"/>
            <w:vAlign w:val="center"/>
          </w:tcPr>
          <w:p>
            <w:pPr>
              <w:keepNext w:val="0"/>
              <w:keepLines w:val="0"/>
              <w:widowControl/>
              <w:suppressLineNumbers w:val="0"/>
              <w:autoSpaceDE w:val="0"/>
              <w:autoSpaceDN w:val="0"/>
              <w:spacing w:before="0" w:beforeAutospacing="0" w:after="0" w:afterAutospacing="0"/>
              <w:ind w:left="0" w:right="0"/>
              <w:jc w:val="center"/>
              <w:rPr>
                <w:rFonts w:hint="default" w:ascii="Y2kIRTz1+FangSong" w:hAnsi="Y2kIRTz1+FangSong" w:eastAsia="Y2kIRTz1+FangSong"/>
                <w:b/>
                <w:color w:val="000000"/>
                <w:spacing w:val="2"/>
              </w:rPr>
            </w:pPr>
            <w:r>
              <w:rPr>
                <w:rFonts w:hint="eastAsia" w:ascii="Y2kIRTz1+FangSong" w:hAnsi="Y2kIRTz1+FangSong" w:eastAsia="Y2kIRTz1+FangSong"/>
                <w:b/>
                <w:color w:val="000000"/>
                <w:spacing w:val="2"/>
              </w:rPr>
              <w:t>代表性论文</w:t>
            </w:r>
          </w:p>
          <w:p>
            <w:pPr>
              <w:keepNext w:val="0"/>
              <w:keepLines w:val="0"/>
              <w:widowControl/>
              <w:suppressLineNumbers w:val="0"/>
              <w:autoSpaceDE w:val="0"/>
              <w:autoSpaceDN w:val="0"/>
              <w:spacing w:before="0" w:beforeAutospacing="0" w:after="0" w:afterAutospacing="0"/>
              <w:ind w:left="0" w:right="0"/>
              <w:jc w:val="center"/>
              <w:rPr>
                <w:rFonts w:hint="default" w:ascii="Y2kIRTz1+FangSong" w:hAnsi="Y2kIRTz1+FangSong" w:eastAsia="Y2kIRTz1+FangSong"/>
                <w:b/>
                <w:color w:val="000000"/>
                <w:spacing w:val="2"/>
              </w:rPr>
            </w:pPr>
            <w:r>
              <w:rPr>
                <w:rFonts w:hint="eastAsia" w:ascii="Y2kIRTz1+FangSong" w:hAnsi="Y2kIRTz1+FangSong" w:eastAsia="Y2kIRTz1+FangSong"/>
                <w:b/>
                <w:color w:val="000000"/>
                <w:spacing w:val="2"/>
              </w:rPr>
              <w:t>专著目录</w:t>
            </w:r>
          </w:p>
        </w:tc>
        <w:tc>
          <w:tcPr>
            <w:tcW w:w="7938" w:type="dxa"/>
            <w:vAlign w:val="center"/>
          </w:tcPr>
          <w:p>
            <w:pPr>
              <w:keepNext w:val="0"/>
              <w:keepLines w:val="0"/>
              <w:widowControl/>
              <w:suppressLineNumbers w:val="0"/>
              <w:autoSpaceDE w:val="0"/>
              <w:autoSpaceDN w:val="0"/>
              <w:spacing w:before="0" w:beforeAutospacing="0" w:after="0" w:afterAutospacing="0"/>
              <w:ind w:left="0" w:right="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论文1：A randomized controlled single-blind clinical trial on 84 outpatients with psoriasis vulgaris by auricular therapy combined with optimized Yinxieling Formula. Chin J Integr Med. 2012 Mar;18(3):186-91. (第一作者:卢传坚;通讯作者:卢传坚)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eastAsia" w:ascii="Y2kIRTz1+FangSong" w:hAnsi="Y2kIRTz1+FangSong" w:eastAsia="Y2kIRTz1+FangSong"/>
                <w:b/>
                <w:color w:val="000000"/>
                <w:spacing w:val="2"/>
              </w:rPr>
            </w:pPr>
          </w:p>
        </w:tc>
        <w:tc>
          <w:tcPr>
            <w:tcW w:w="7938" w:type="dxa"/>
            <w:vAlign w:val="center"/>
          </w:tcPr>
          <w:p>
            <w:pPr>
              <w:keepNext w:val="0"/>
              <w:keepLines w:val="0"/>
              <w:widowControl/>
              <w:suppressLineNumbers w:val="0"/>
              <w:autoSpaceDE w:val="0"/>
              <w:autoSpaceDN w:val="0"/>
              <w:spacing w:before="0" w:beforeAutospacing="0" w:after="0" w:afterAutospacing="0"/>
              <w:ind w:left="0" w:right="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论文2：银屑灵片及其优化方治疗寻常型银屑病的疗效及安全性的Meta分析.中药新药与临床药理,2021,32(07):1048-1054. (第一作者:喻靖傑、李子晴;通讯作者:卢传坚)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default" w:ascii="Y2kIRTz1+FangSong" w:hAnsi="Y2kIRTz1+FangSong" w:eastAsia="Y2kIRTz1+FangSong"/>
                <w:b/>
                <w:color w:val="000000"/>
                <w:spacing w:val="2"/>
              </w:rPr>
            </w:pPr>
          </w:p>
        </w:tc>
        <w:tc>
          <w:tcPr>
            <w:tcW w:w="7938" w:type="dxa"/>
            <w:vAlign w:val="center"/>
          </w:tcPr>
          <w:p>
            <w:pPr>
              <w:keepNext w:val="0"/>
              <w:keepLines w:val="0"/>
              <w:widowControl/>
              <w:suppressLineNumbers w:val="0"/>
              <w:autoSpaceDE w:val="0"/>
              <w:autoSpaceDN w:val="0"/>
              <w:spacing w:before="0" w:beforeAutospacing="0" w:after="0" w:afterAutospacing="0"/>
              <w:ind w:left="0" w:right="0"/>
              <w:jc w:val="left"/>
              <w:rPr>
                <w:rFonts w:hint="default" w:ascii="Y2kIRTz1+FangSong" w:hAnsi="Y2kIRTz1+FangSong" w:eastAsia="Y2kIRTz1+FangSong"/>
                <w:color w:val="000000"/>
              </w:rPr>
            </w:pPr>
            <w:r>
              <w:rPr>
                <w:rFonts w:hint="eastAsia" w:ascii="Y2kIRTz1+FangSong" w:hAnsi="Y2kIRTz1+FangSong" w:eastAsia="Y2kIRTz1+FangSong"/>
                <w:color w:val="000000"/>
                <w:lang w:val="en-US" w:eastAsia="zh-CN"/>
              </w:rPr>
              <w:t>论文3：传统医学证据体的构成及证据分级的建议.中国中西医结合杂志,2007(12): 1061-1065.(第一作者/通讯作者:刘建平)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default" w:ascii="Y2kIRTz1+FangSong" w:hAnsi="Y2kIRTz1+FangSong" w:eastAsia="Y2kIRTz1+FangSong"/>
                <w:b/>
                <w:color w:val="000000"/>
                <w:spacing w:val="2"/>
              </w:rPr>
            </w:pPr>
          </w:p>
        </w:tc>
        <w:tc>
          <w:tcPr>
            <w:tcW w:w="7938" w:type="dxa"/>
            <w:vAlign w:val="center"/>
          </w:tcPr>
          <w:p>
            <w:pPr>
              <w:keepNext w:val="0"/>
              <w:keepLines w:val="0"/>
              <w:widowControl/>
              <w:suppressLineNumbers w:val="0"/>
              <w:autoSpaceDE w:val="0"/>
              <w:autoSpaceDN w:val="0"/>
              <w:spacing w:before="0" w:beforeAutospacing="0" w:after="0" w:afterAutospacing="0"/>
              <w:ind w:left="0" w:right="0"/>
              <w:jc w:val="left"/>
              <w:rPr>
                <w:rFonts w:hint="default" w:ascii="Y2kIRTz1+FangSong" w:hAnsi="Y2kIRTz1+FangSong" w:eastAsia="Y2kIRTz1+FangSong"/>
                <w:color w:val="000000"/>
              </w:rPr>
            </w:pPr>
            <w:r>
              <w:rPr>
                <w:rFonts w:hint="eastAsia" w:ascii="Y2kIRTz1+FangSong" w:hAnsi="Y2kIRTz1+FangSong" w:eastAsia="Y2kIRTz1+FangSong"/>
                <w:color w:val="000000"/>
                <w:lang w:val="en-US" w:eastAsia="zh-CN"/>
              </w:rPr>
              <w:t>论文4：基于证据体的中医药临床证据分级标准建议.中国中西医结合杂志,2019,39 (03):358-364.(第一作者:陈薇;通讯作者:刘建平)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default" w:ascii="Y2kIRTz1+FangSong" w:hAnsi="Y2kIRTz1+FangSong" w:eastAsia="Y2kIRTz1+FangSong"/>
                <w:b/>
                <w:color w:val="000000"/>
                <w:spacing w:val="2"/>
              </w:rPr>
            </w:pPr>
          </w:p>
        </w:tc>
        <w:tc>
          <w:tcPr>
            <w:tcW w:w="7938" w:type="dxa"/>
            <w:vAlign w:val="center"/>
          </w:tcPr>
          <w:p>
            <w:pPr>
              <w:keepNext w:val="0"/>
              <w:keepLines w:val="0"/>
              <w:widowControl/>
              <w:suppressLineNumbers w:val="0"/>
              <w:autoSpaceDE w:val="0"/>
              <w:autoSpaceDN w:val="0"/>
              <w:spacing w:before="0" w:beforeAutospacing="0" w:after="0" w:afterAutospacing="0"/>
              <w:ind w:left="0" w:right="0"/>
              <w:jc w:val="left"/>
              <w:rPr>
                <w:rFonts w:hint="default" w:ascii="Y2kIRTz1+FangSong" w:hAnsi="Y2kIRTz1+FangSong" w:eastAsia="Y2kIRTz1+FangSong"/>
                <w:color w:val="000000"/>
              </w:rPr>
            </w:pPr>
            <w:r>
              <w:rPr>
                <w:rFonts w:hint="eastAsia" w:ascii="Y2kIRTz1+FangSong" w:hAnsi="Y2kIRTz1+FangSong" w:eastAsia="Y2kIRTz1+FangSong"/>
                <w:color w:val="000000"/>
                <w:lang w:val="en-US" w:eastAsia="zh-CN"/>
              </w:rPr>
              <w:t>专著5：循证中医药.人民卫生出版社，2018年.(主编:刘建平，商洪才;副主编:吴大嵘，费宇彤)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restart"/>
            <w:vAlign w:val="center"/>
          </w:tcPr>
          <w:p>
            <w:pPr>
              <w:keepNext w:val="0"/>
              <w:keepLines w:val="0"/>
              <w:widowControl/>
              <w:suppressLineNumbers w:val="0"/>
              <w:autoSpaceDE w:val="0"/>
              <w:autoSpaceDN w:val="0"/>
              <w:spacing w:before="0" w:beforeAutospacing="0" w:after="0" w:afterAutospacing="0"/>
              <w:ind w:left="0" w:right="0"/>
              <w:jc w:val="center"/>
              <w:rPr>
                <w:rFonts w:hint="default" w:ascii="Y2kIRTz1+FangSong" w:hAnsi="Y2kIRTz1+FangSong" w:eastAsia="Y2kIRTz1+FangSong"/>
                <w:b/>
                <w:color w:val="000000"/>
                <w:spacing w:val="2"/>
              </w:rPr>
            </w:pPr>
            <w:r>
              <w:rPr>
                <w:rFonts w:hint="eastAsia" w:ascii="Y2kIRTz1+FangSong" w:hAnsi="Y2kIRTz1+FangSong" w:eastAsia="Y2kIRTz1+FangSong"/>
                <w:b/>
                <w:color w:val="000000"/>
                <w:spacing w:val="2"/>
              </w:rPr>
              <w:t>知识产权名称</w:t>
            </w:r>
          </w:p>
        </w:tc>
        <w:tc>
          <w:tcPr>
            <w:tcW w:w="7938" w:type="dxa"/>
            <w:vAlign w:val="center"/>
          </w:tcPr>
          <w:p>
            <w:pPr>
              <w:keepNext w:val="0"/>
              <w:keepLines w:val="0"/>
              <w:widowControl/>
              <w:suppressLineNumbers w:val="0"/>
              <w:autoSpaceDE w:val="0"/>
              <w:autoSpaceDN w:val="0"/>
              <w:spacing w:before="0" w:beforeAutospacing="0" w:after="0" w:afterAutospacing="0"/>
              <w:ind w:left="0" w:right="0"/>
              <w:jc w:val="left"/>
              <w:rPr>
                <w:rFonts w:hint="eastAsia" w:ascii="Y2kIRTz1+FangSong" w:hAnsi="Y2kIRTz1+FangSong" w:eastAsia="Y2kIRTz1+FangSong"/>
                <w:color w:val="000000"/>
              </w:rPr>
            </w:pPr>
            <w:r>
              <w:rPr>
                <w:rFonts w:hint="eastAsia" w:ascii="Y2kIRTz1+FangSong" w:hAnsi="Y2kIRTz1+FangSong" w:eastAsia="Y2kIRTz1+FangSong"/>
                <w:color w:val="000000"/>
                <w:lang w:val="en-US" w:eastAsia="zh-CN"/>
              </w:rPr>
              <w:t>标准规范1：中医药整体证据研究的标准化操作规程第1部分：总则，T/CACM 1335.1-2020，广东省中医院（广州中医药大学第二附属医院）、澳大利亚皇家墨尔本理工大学、中国中医科学院中医临床基础医学研究所、上海中医药大学、北京中医药大学东直门医院，卢传坚、郭新峰、刘少南、李慧、谢秀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eastAsia" w:ascii="Y2kIRTz1+FangSong" w:hAnsi="Y2kIRTz1+FangSong" w:eastAsia="Y2kIRTz1+FangSong"/>
                <w:b/>
                <w:color w:val="000000"/>
                <w:spacing w:val="2"/>
              </w:rPr>
            </w:pPr>
          </w:p>
        </w:tc>
        <w:tc>
          <w:tcPr>
            <w:tcW w:w="7938" w:type="dxa"/>
            <w:vAlign w:val="center"/>
          </w:tcPr>
          <w:p>
            <w:pPr>
              <w:keepNext w:val="0"/>
              <w:keepLines w:val="0"/>
              <w:widowControl/>
              <w:suppressLineNumbers w:val="0"/>
              <w:autoSpaceDE w:val="0"/>
              <w:autoSpaceDN w:val="0"/>
              <w:spacing w:before="0" w:beforeAutospacing="0" w:after="0" w:afterAutospacing="0"/>
              <w:ind w:left="0" w:right="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标准规范2：中医药整体证据研究的标准化操作规程第2部分：古籍证据的梳理，T/CACM 1335.2-2020，广东省中医院（广州中医药大学第二附属医院）、澳大利亚皇家墨尔本理工大学、中国中医科学院中医临床基础医学研究所、上海中医药大学、北京中医药大学东直门医院，卢传坚、郭新峰、刘少南、李慧、谢秀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eastAsia" w:ascii="Y2kIRTz1+FangSong" w:hAnsi="Y2kIRTz1+FangSong" w:eastAsia="Y2kIRTz1+FangSong"/>
                <w:b/>
                <w:color w:val="000000"/>
                <w:spacing w:val="2"/>
              </w:rPr>
            </w:pPr>
          </w:p>
        </w:tc>
        <w:tc>
          <w:tcPr>
            <w:tcW w:w="7938" w:type="dxa"/>
            <w:vAlign w:val="center"/>
          </w:tcPr>
          <w:p>
            <w:pPr>
              <w:keepNext w:val="0"/>
              <w:keepLines w:val="0"/>
              <w:widowControl/>
              <w:suppressLineNumbers w:val="0"/>
              <w:autoSpaceDE w:val="0"/>
              <w:autoSpaceDN w:val="0"/>
              <w:spacing w:before="0" w:beforeAutospacing="0" w:after="0" w:afterAutospacing="0"/>
              <w:ind w:left="0" w:right="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标准规范3：中医药整体证据研究的标准化操作规程第3部分：现代研究证据的梳理，T/CACM 1335.3-2020，广东省中医院（广州中医药大学第二附属医院）、澳大利亚皇家墨尔本理工大学、中国中医科学院中医临床基础医学研究所、上海中医药大学、北京中医药大学东直门医院，卢传坚、郭新峰、刘少南、李慧、谢秀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eastAsia" w:ascii="Y2kIRTz1+FangSong" w:hAnsi="Y2kIRTz1+FangSong" w:eastAsia="Y2kIRTz1+FangSong"/>
                <w:b/>
                <w:color w:val="000000"/>
                <w:spacing w:val="2"/>
              </w:rPr>
            </w:pPr>
          </w:p>
        </w:tc>
        <w:tc>
          <w:tcPr>
            <w:tcW w:w="7938" w:type="dxa"/>
            <w:vAlign w:val="center"/>
          </w:tcPr>
          <w:p>
            <w:pPr>
              <w:keepNext w:val="0"/>
              <w:keepLines w:val="0"/>
              <w:widowControl/>
              <w:suppressLineNumbers w:val="0"/>
              <w:autoSpaceDE w:val="0"/>
              <w:autoSpaceDN w:val="0"/>
              <w:spacing w:before="0" w:beforeAutospacing="0" w:after="0" w:afterAutospacing="0"/>
              <w:ind w:left="0" w:right="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标准规范4：寻常型银屑病中西医结合诊疗指南,</w:t>
            </w:r>
            <w:r>
              <w:rPr>
                <w:rFonts w:hint="default" w:ascii="Y2kIRTz1+FangSong" w:hAnsi="Y2kIRTz1+FangSong" w:eastAsia="Y2kIRTz1+FangSong"/>
                <w:color w:val="000000"/>
                <w:lang w:val="en-US" w:eastAsia="zh-CN"/>
              </w:rPr>
              <w:t xml:space="preserve"> </w:t>
            </w:r>
            <w:r>
              <w:rPr>
                <w:rFonts w:hint="eastAsia" w:ascii="Y2kIRTz1+FangSong" w:hAnsi="Y2kIRTz1+FangSong" w:eastAsia="Y2kIRTz1+FangSong"/>
                <w:color w:val="000000"/>
                <w:lang w:val="en-US" w:eastAsia="zh-CN"/>
              </w:rPr>
              <w:t>SCM-C 0055-2023,</w:t>
            </w:r>
            <w:r>
              <w:rPr>
                <w:rFonts w:hint="default" w:ascii="Y2kIRTz1+FangSong" w:hAnsi="Y2kIRTz1+FangSong" w:eastAsia="Y2kIRTz1+FangSong"/>
                <w:color w:val="000000"/>
                <w:lang w:val="en-US" w:eastAsia="zh-CN"/>
              </w:rPr>
              <w:t xml:space="preserve"> </w:t>
            </w:r>
            <w:r>
              <w:rPr>
                <w:rFonts w:hint="eastAsia" w:ascii="Y2kIRTz1+FangSong" w:hAnsi="Y2kIRTz1+FangSong" w:eastAsia="Y2kIRTz1+FangSong"/>
                <w:color w:val="000000"/>
                <w:lang w:val="en-US" w:eastAsia="zh-CN"/>
              </w:rPr>
              <w:t>广东省中医院（广州中医药大学第二附属医院）、南中医药大学第二附属医院、澳大利亚皇家墨尔本理工大学、香港浸会大学、香港中文大学、澳门大学中华医药研究院、新西兰中医学院、上海中医药大学附属岳阳中西医结合医院、第二军医大学长海医院、江西中医药大学第二附属医院、南京中医药大学第一临床医学院、河南省中医院、四川省中医药科学院、北京中医药大学东方医院、天津市中医药研究院附属医院、中日友好医院、暨南大学附属广州红十字会医院、南方医科大学中西医结合医院,卢传坚、谢秀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eastAsia" w:ascii="Y2kIRTz1+FangSong" w:hAnsi="Y2kIRTz1+FangSong" w:eastAsia="Y2kIRTz1+FangSong"/>
                <w:b/>
                <w:color w:val="000000"/>
                <w:spacing w:val="2"/>
              </w:rPr>
            </w:pPr>
          </w:p>
        </w:tc>
        <w:tc>
          <w:tcPr>
            <w:tcW w:w="7938" w:type="dxa"/>
            <w:vAlign w:val="center"/>
          </w:tcPr>
          <w:p>
            <w:pPr>
              <w:keepNext w:val="0"/>
              <w:keepLines w:val="0"/>
              <w:widowControl/>
              <w:suppressLineNumbers w:val="0"/>
              <w:autoSpaceDE w:val="0"/>
              <w:autoSpaceDN w:val="0"/>
              <w:spacing w:before="0" w:beforeAutospacing="0" w:after="0" w:afterAutospacing="0"/>
              <w:ind w:left="0" w:right="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软件著作权5：中医证据系统[简称:中医证据系统(TCM Evidence)] v1.0, 2016SR042013,广东省中医院，郭新峰、刘少南、卢传坚等。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eastAsia" w:ascii="Y2kIRTz1+FangSong" w:hAnsi="Y2kIRTz1+FangSong" w:eastAsia="Y2kIRTz1+FangSong"/>
                <w:b/>
                <w:color w:val="000000"/>
                <w:spacing w:val="2"/>
              </w:rPr>
            </w:pPr>
          </w:p>
        </w:tc>
        <w:tc>
          <w:tcPr>
            <w:tcW w:w="7938" w:type="dxa"/>
            <w:vAlign w:val="center"/>
          </w:tcPr>
          <w:p>
            <w:pPr>
              <w:keepNext w:val="0"/>
              <w:keepLines w:val="0"/>
              <w:widowControl/>
              <w:suppressLineNumbers w:val="0"/>
              <w:autoSpaceDE w:val="0"/>
              <w:autoSpaceDN w:val="0"/>
              <w:spacing w:before="0" w:beforeAutospacing="0" w:after="0" w:afterAutospacing="0"/>
              <w:ind w:left="0" w:right="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软件著作权6：中医药标准信息化平台系统V1.0, 2016SR377057,广东省中医院，卢传坚、李慧、谢秀丽等。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eastAsia" w:ascii="Y2kIRTz1+FangSong" w:hAnsi="Y2kIRTz1+FangSong" w:eastAsia="Y2kIRTz1+FangSong"/>
                <w:b/>
                <w:color w:val="000000"/>
                <w:spacing w:val="2"/>
              </w:rPr>
            </w:pPr>
          </w:p>
        </w:tc>
        <w:tc>
          <w:tcPr>
            <w:tcW w:w="7938" w:type="dxa"/>
            <w:vAlign w:val="center"/>
          </w:tcPr>
          <w:p>
            <w:pPr>
              <w:keepNext w:val="0"/>
              <w:keepLines w:val="0"/>
              <w:widowControl/>
              <w:suppressLineNumbers w:val="0"/>
              <w:autoSpaceDE w:val="0"/>
              <w:autoSpaceDN w:val="0"/>
              <w:spacing w:before="0" w:beforeAutospacing="0" w:after="0" w:afterAutospacing="0"/>
              <w:ind w:left="0" w:right="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标准规范7：中医（中西医结合）临床实践指南制修订通则 总则，DB 44/ T 2218.1-2019，广东省中医院、广东省中西医结合医院、广东省中医药学会、广东省中西医结合学会，李慧、卢传坚、谢秀丽等。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eastAsia" w:ascii="Y2kIRTz1+FangSong" w:hAnsi="Y2kIRTz1+FangSong" w:eastAsia="Y2kIRTz1+FangSong"/>
                <w:b/>
                <w:color w:val="000000"/>
                <w:spacing w:val="2"/>
              </w:rPr>
            </w:pPr>
          </w:p>
        </w:tc>
        <w:tc>
          <w:tcPr>
            <w:tcW w:w="7938" w:type="dxa"/>
            <w:vAlign w:val="center"/>
          </w:tcPr>
          <w:p>
            <w:pPr>
              <w:keepNext w:val="0"/>
              <w:keepLines w:val="0"/>
              <w:widowControl/>
              <w:suppressLineNumbers w:val="0"/>
              <w:autoSpaceDE w:val="0"/>
              <w:autoSpaceDN w:val="0"/>
              <w:spacing w:before="0" w:beforeAutospacing="0" w:after="0" w:afterAutospacing="0"/>
              <w:ind w:left="0" w:right="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标准规范8：中医（中西医结合）临床实践指南制修订通则 证据质量与推荐强度分级，DB 44/ T 2218.5-2019，广东省中医院、广东省中西医结合医院、广东省中医药学会、广东省中西医结合学会，李慧、卢传坚、谢秀丽等。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eastAsia" w:ascii="Y2kIRTz1+FangSong" w:hAnsi="Y2kIRTz1+FangSong" w:eastAsia="Y2kIRTz1+FangSong"/>
                <w:b/>
                <w:color w:val="000000"/>
                <w:spacing w:val="2"/>
              </w:rPr>
            </w:pPr>
          </w:p>
        </w:tc>
        <w:tc>
          <w:tcPr>
            <w:tcW w:w="7938" w:type="dxa"/>
            <w:vAlign w:val="center"/>
          </w:tcPr>
          <w:p>
            <w:pPr>
              <w:keepNext w:val="0"/>
              <w:keepLines w:val="0"/>
              <w:widowControl/>
              <w:suppressLineNumbers w:val="0"/>
              <w:autoSpaceDE w:val="0"/>
              <w:autoSpaceDN w:val="0"/>
              <w:spacing w:before="0" w:beforeAutospacing="0" w:after="0" w:afterAutospacing="0"/>
              <w:ind w:left="0" w:right="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作品著作权9：医学指南适用性评价,国作登字-2013-A-00103587,广东省中医院，李慧、卢传坚、谢秀丽等。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pPr>
              <w:keepNext w:val="0"/>
              <w:keepLines w:val="0"/>
              <w:widowControl/>
              <w:suppressLineNumbers w:val="0"/>
              <w:autoSpaceDE w:val="0"/>
              <w:autoSpaceDN w:val="0"/>
              <w:spacing w:before="0" w:beforeAutospacing="0" w:after="0" w:afterAutospacing="0"/>
              <w:ind w:left="0" w:right="0"/>
              <w:jc w:val="center"/>
              <w:rPr>
                <w:rFonts w:hint="eastAsia" w:ascii="Y2kIRTz1+FangSong" w:hAnsi="Y2kIRTz1+FangSong" w:eastAsia="Y2kIRTz1+FangSong"/>
                <w:b/>
                <w:color w:val="000000"/>
                <w:spacing w:val="2"/>
              </w:rPr>
            </w:pPr>
          </w:p>
        </w:tc>
        <w:tc>
          <w:tcPr>
            <w:tcW w:w="7938" w:type="dxa"/>
            <w:vAlign w:val="center"/>
          </w:tcPr>
          <w:p>
            <w:pPr>
              <w:keepNext w:val="0"/>
              <w:keepLines w:val="0"/>
              <w:widowControl/>
              <w:suppressLineNumbers w:val="0"/>
              <w:autoSpaceDE w:val="0"/>
              <w:autoSpaceDN w:val="0"/>
              <w:spacing w:before="0" w:beforeAutospacing="0" w:after="0" w:afterAutospacing="0"/>
              <w:ind w:left="0" w:right="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作品著作权10：中医临床路径管理评价指标体系, 国作登字-2017-L-00476587,广东省中医院，吴大嵘、吕玉波等。</w:t>
            </w:r>
          </w:p>
        </w:tc>
      </w:tr>
    </w:tbl>
    <w:p>
      <w:pPr>
        <w:rPr>
          <w:rFonts w:eastAsia="宋体"/>
        </w:rPr>
      </w:pPr>
    </w:p>
    <w:p>
      <w:pPr>
        <w:rPr>
          <w:rFonts w:eastAsia="宋体"/>
        </w:rPr>
      </w:pPr>
    </w:p>
    <w:p>
      <w:pPr>
        <w:rPr>
          <w:rFonts w:eastAsia="宋体"/>
        </w:rPr>
      </w:pPr>
    </w:p>
    <w:p>
      <w:pPr>
        <w:rPr>
          <w:rFonts w:eastAsia="宋体"/>
        </w:rPr>
      </w:pPr>
      <w:bookmarkStart w:id="0" w:name="_GoBack"/>
      <w:bookmarkEnd w:id="0"/>
    </w:p>
    <w:p>
      <w:pPr>
        <w:rPr>
          <w:rFonts w:eastAsia="宋体"/>
        </w:rPr>
      </w:pPr>
    </w:p>
    <w:p>
      <w:pPr>
        <w:rPr>
          <w:rFonts w:eastAsia="宋体"/>
        </w:rPr>
      </w:pPr>
    </w:p>
    <w:p>
      <w:pPr>
        <w:rPr>
          <w:rFonts w:eastAsia="宋体"/>
        </w:rPr>
      </w:pPr>
    </w:p>
    <w:p>
      <w:pPr>
        <w:rPr>
          <w:rFonts w:eastAsia="宋体"/>
        </w:rPr>
      </w:pPr>
    </w:p>
    <w:p>
      <w:pPr>
        <w:widowControl/>
        <w:autoSpaceDE w:val="0"/>
        <w:autoSpaceDN w:val="0"/>
        <w:spacing w:line="14" w:lineRule="exact"/>
      </w:pPr>
    </w:p>
    <w:sectPr>
      <w:pgSz w:w="11906" w:h="17238"/>
      <w:pgMar w:top="1012" w:right="1440" w:bottom="440" w:left="1440" w:header="720" w:footer="720" w:gutter="0"/>
      <w:cols w:equalWidth="0" w:num="1">
        <w:col w:w="9026"/>
      </w:cols>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ＭＳ 明朝">
    <w:altName w:val="仿宋_GB2312"/>
    <w:panose1 w:val="00000000000000000000"/>
    <w:charset w:val="86"/>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TimesNewRomanPSMT">
    <w:altName w:val="Nimbus Roman No9 L"/>
    <w:panose1 w:val="00000000000000000000"/>
    <w:charset w:val="00"/>
    <w:family w:val="roman"/>
    <w:pitch w:val="default"/>
    <w:sig w:usb0="00000000" w:usb1="00000000" w:usb2="00000000" w:usb3="00000000" w:csb0="00000000" w:csb1="00000000"/>
  </w:font>
  <w:font w:name="LlEL5NUK+TimesNewRomanPS">
    <w:altName w:val="Nimbus Roman No9 L"/>
    <w:panose1 w:val="00000000000000000000"/>
    <w:charset w:val="00"/>
    <w:family w:val="auto"/>
    <w:pitch w:val="default"/>
    <w:sig w:usb0="00000000" w:usb1="00000000" w:usb2="00000016" w:usb3="00000000" w:csb0="0004001F" w:csb1="00000000"/>
  </w:font>
  <w:font w:name="Mdkdmhle+SimSun">
    <w:altName w:val="仿宋_GB2312"/>
    <w:panose1 w:val="00000000000000000000"/>
    <w:charset w:val="00"/>
    <w:family w:val="auto"/>
    <w:pitch w:val="default"/>
    <w:sig w:usb0="00000000" w:usb1="00000000" w:usb2="00000016" w:usb3="00000000" w:csb0="0004001F" w:csb1="00000000"/>
  </w:font>
  <w:font w:name="9n4wAoe0+TimesNewRomanPSMT">
    <w:altName w:val="Nimbus Roman No9 L"/>
    <w:panose1 w:val="00000000000000000000"/>
    <w:charset w:val="00"/>
    <w:family w:val="auto"/>
    <w:pitch w:val="default"/>
    <w:sig w:usb0="00000000" w:usb1="00000000" w:usb2="00000016" w:usb3="00000000" w:csb0="0004001F" w:csb1="00000000"/>
  </w:font>
  <w:font w:name="Y2kIRTz1+FangSong">
    <w:altName w:val="仿宋_GB2312"/>
    <w:panose1 w:val="00000000000000000000"/>
    <w:charset w:val="00"/>
    <w:family w:val="auto"/>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ＭＳ 明朝">
    <w:altName w:val="仿宋_GB2312"/>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isplayHorizontalDrawingGridEvery w:val="0"/>
  <w:displayVerticalDrawingGridEvery w:val="2"/>
  <w:characterSpacingControl w:val="doNotCompress"/>
  <w:compat>
    <w:balanceSingleByteDoubleByteWidth/>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4616"/>
    <w:rsid w:val="00060294"/>
    <w:rsid w:val="0006063C"/>
    <w:rsid w:val="00133D63"/>
    <w:rsid w:val="0015074B"/>
    <w:rsid w:val="0029639D"/>
    <w:rsid w:val="00326F90"/>
    <w:rsid w:val="00385841"/>
    <w:rsid w:val="00445E61"/>
    <w:rsid w:val="0052072E"/>
    <w:rsid w:val="007A609B"/>
    <w:rsid w:val="008F2F61"/>
    <w:rsid w:val="00A665E6"/>
    <w:rsid w:val="00AA1D8D"/>
    <w:rsid w:val="00B47730"/>
    <w:rsid w:val="00CB0664"/>
    <w:rsid w:val="00E81C3B"/>
    <w:rsid w:val="00FC693F"/>
    <w:rsid w:val="039C5442"/>
    <w:rsid w:val="04471CA7"/>
    <w:rsid w:val="0A7B4483"/>
    <w:rsid w:val="21F8567F"/>
    <w:rsid w:val="2A5F0DF4"/>
    <w:rsid w:val="2EA13819"/>
    <w:rsid w:val="4E3221F7"/>
    <w:rsid w:val="7DAF0C8C"/>
    <w:rsid w:val="7F3F1B0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table" w:styleId="3">
    <w:name w:val="Table Grid"/>
    <w:basedOn w:val="2"/>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fontstyle01"/>
    <w:basedOn w:val="4"/>
    <w:qFormat/>
    <w:uiPriority w:val="0"/>
    <w:rPr>
      <w:rFonts w:hint="eastAsia" w:ascii="仿宋" w:hAnsi="仿宋" w:eastAsia="仿宋"/>
      <w:color w:val="000000"/>
      <w:sz w:val="22"/>
      <w:szCs w:val="22"/>
    </w:rPr>
  </w:style>
  <w:style w:type="character" w:customStyle="1" w:styleId="6">
    <w:name w:val="fontstyle21"/>
    <w:basedOn w:val="4"/>
    <w:qFormat/>
    <w:uiPriority w:val="0"/>
    <w:rPr>
      <w:rFonts w:hint="default" w:ascii="TimesNewRomanPSMT" w:hAnsi="TimesNewRomanPSMT"/>
      <w:color w:val="000000"/>
      <w:sz w:val="22"/>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4</Pages>
  <Words>629</Words>
  <Characters>644</Characters>
  <Lines>6</Lines>
  <Paragraphs>1</Paragraphs>
  <TotalTime>1</TotalTime>
  <ScaleCrop>false</ScaleCrop>
  <LinksUpToDate>false</LinksUpToDate>
  <CharactersWithSpaces>663</CharactersWithSpaces>
  <Application>WPS Office_11.8.2.12024_F1E327BC-269C-435d-A152-05C5408002CA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python-docx</dc:creator>
  <dc:description>generated by python-docx</dc:description>
  <cp:lastModifiedBy>lwb</cp:lastModifiedBy>
  <dcterms:modified xsi:type="dcterms:W3CDTF">2025-01-07T14:47:43Z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ICV">
    <vt:lpwstr>DD44328A28374CD29AFAB93B11B49628_12</vt:lpwstr>
  </property>
</Properties>
</file>