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9D0" w:rsidRDefault="00BC1338">
      <w:pPr>
        <w:spacing w:before="114" w:line="224" w:lineRule="auto"/>
        <w:ind w:left="1991"/>
        <w:rPr>
          <w:rFonts w:ascii="Times New Roman" w:eastAsia="宋体" w:hAnsi="Times New Roman" w:cs="Times New Roman"/>
          <w:sz w:val="35"/>
          <w:szCs w:val="35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6"/>
          <w:sz w:val="35"/>
          <w:szCs w:val="35"/>
          <w:lang w:eastAsia="zh-CN"/>
        </w:rPr>
        <w:t xml:space="preserve">2024 </w:t>
      </w:r>
      <w:r>
        <w:rPr>
          <w:rFonts w:ascii="Times New Roman" w:eastAsia="宋体" w:hAnsi="Times New Roman" w:cs="Times New Roman"/>
          <w:b/>
          <w:bCs/>
          <w:spacing w:val="6"/>
          <w:sz w:val="35"/>
          <w:szCs w:val="35"/>
          <w:lang w:eastAsia="zh-CN"/>
        </w:rPr>
        <w:t>年度广东省科学技术奖公示表</w:t>
      </w:r>
    </w:p>
    <w:p w:rsidR="00DF79D0" w:rsidRDefault="00BC1338">
      <w:pPr>
        <w:spacing w:before="43" w:line="224" w:lineRule="auto"/>
        <w:jc w:val="right"/>
        <w:outlineLvl w:val="0"/>
        <w:rPr>
          <w:rFonts w:ascii="Times New Roman" w:eastAsia="宋体" w:hAnsi="Times New Roman" w:cs="Times New Roman"/>
          <w:sz w:val="35"/>
          <w:szCs w:val="35"/>
          <w:lang w:eastAsia="zh-CN"/>
        </w:rPr>
      </w:pPr>
      <w:r>
        <w:rPr>
          <w:rFonts w:ascii="Times New Roman" w:eastAsia="宋体" w:hAnsi="Times New Roman" w:cs="Times New Roman"/>
          <w:b/>
          <w:bCs/>
          <w:spacing w:val="-35"/>
          <w:sz w:val="35"/>
          <w:szCs w:val="35"/>
          <w:lang w:eastAsia="zh-CN"/>
        </w:rPr>
        <w:t>（自然科学奖、技术发明奖、科技进步奖、科技成果推广奖格式）</w:t>
      </w:r>
    </w:p>
    <w:p w:rsidR="00DF79D0" w:rsidRDefault="00DF79D0">
      <w:pPr>
        <w:spacing w:line="230" w:lineRule="exact"/>
        <w:rPr>
          <w:rFonts w:ascii="Times New Roman" w:hAnsi="Times New Roman" w:cs="Times New Roman"/>
          <w:lang w:eastAsia="zh-CN"/>
        </w:rPr>
      </w:pPr>
    </w:p>
    <w:tbl>
      <w:tblPr>
        <w:tblStyle w:val="TableNormal"/>
        <w:tblW w:w="946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9"/>
        <w:gridCol w:w="7849"/>
      </w:tblGrid>
      <w:tr w:rsidR="00DF79D0" w:rsidTr="00BD4622">
        <w:trPr>
          <w:trHeight w:val="562"/>
        </w:trPr>
        <w:tc>
          <w:tcPr>
            <w:tcW w:w="1619" w:type="dxa"/>
            <w:vAlign w:val="center"/>
          </w:tcPr>
          <w:p w:rsidR="00DF79D0" w:rsidRDefault="00BC1338" w:rsidP="00BD4622">
            <w:pPr>
              <w:spacing w:before="40" w:line="236" w:lineRule="auto"/>
              <w:ind w:left="715" w:right="108" w:hanging="584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-6"/>
                <w:sz w:val="20"/>
                <w:szCs w:val="20"/>
              </w:rPr>
              <w:t>学科、专业评审</w:t>
            </w:r>
            <w:r>
              <w:rPr>
                <w:rFonts w:ascii="Times New Roman" w:eastAsia="仿宋" w:hAnsi="Times New Roman" w:cs="Times New Roman"/>
                <w:b/>
                <w:bCs/>
                <w:spacing w:val="-3"/>
                <w:sz w:val="20"/>
                <w:szCs w:val="20"/>
              </w:rPr>
              <w:t>组</w:t>
            </w:r>
            <w:proofErr w:type="spellEnd"/>
          </w:p>
        </w:tc>
        <w:tc>
          <w:tcPr>
            <w:tcW w:w="7849" w:type="dxa"/>
          </w:tcPr>
          <w:p w:rsidR="00DF79D0" w:rsidRDefault="00BC1338">
            <w:pPr>
              <w:pStyle w:val="TableText"/>
              <w:rPr>
                <w:rFonts w:ascii="Times New Roman" w:eastAsia="仿宋" w:hAnsi="Times New Roman" w:cs="Times New Roman"/>
                <w:color w:val="auto"/>
                <w:lang w:eastAsia="zh-CN"/>
              </w:rPr>
            </w:pP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中医学与中药学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-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中西医结合医学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-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中西结合临床评审组</w:t>
            </w:r>
          </w:p>
        </w:tc>
      </w:tr>
      <w:tr w:rsidR="00DF79D0" w:rsidTr="00BD4622">
        <w:trPr>
          <w:trHeight w:val="557"/>
        </w:trPr>
        <w:tc>
          <w:tcPr>
            <w:tcW w:w="1619" w:type="dxa"/>
            <w:vAlign w:val="center"/>
          </w:tcPr>
          <w:p w:rsidR="00DF79D0" w:rsidRDefault="00BC1338" w:rsidP="00BD4622">
            <w:pPr>
              <w:spacing w:before="172" w:line="229" w:lineRule="auto"/>
              <w:ind w:left="399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4"/>
                <w:sz w:val="20"/>
                <w:szCs w:val="20"/>
              </w:rPr>
              <w:t>项目名称</w:t>
            </w:r>
            <w:proofErr w:type="spellEnd"/>
          </w:p>
        </w:tc>
        <w:tc>
          <w:tcPr>
            <w:tcW w:w="7849" w:type="dxa"/>
          </w:tcPr>
          <w:p w:rsidR="00DF79D0" w:rsidRDefault="00BC1338">
            <w:pPr>
              <w:pStyle w:val="TableText"/>
              <w:rPr>
                <w:rFonts w:ascii="Times New Roman" w:eastAsia="仿宋" w:hAnsi="Times New Roman" w:cs="Times New Roman"/>
                <w:color w:val="auto"/>
                <w:lang w:eastAsia="zh-CN"/>
              </w:rPr>
            </w:pP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针药结合改善肿瘤相关症状及生活质量诊疗体系的创建与应用</w:t>
            </w:r>
          </w:p>
        </w:tc>
      </w:tr>
      <w:tr w:rsidR="00DF79D0" w:rsidTr="00BD4622">
        <w:trPr>
          <w:trHeight w:val="557"/>
        </w:trPr>
        <w:tc>
          <w:tcPr>
            <w:tcW w:w="1619" w:type="dxa"/>
            <w:vAlign w:val="center"/>
          </w:tcPr>
          <w:p w:rsidR="00DF79D0" w:rsidRDefault="00BC1338" w:rsidP="00BD4622">
            <w:pPr>
              <w:spacing w:before="173" w:line="232" w:lineRule="auto"/>
              <w:ind w:left="505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3"/>
                <w:sz w:val="20"/>
                <w:szCs w:val="20"/>
              </w:rPr>
              <w:t>提名者</w:t>
            </w:r>
            <w:proofErr w:type="spellEnd"/>
          </w:p>
        </w:tc>
        <w:tc>
          <w:tcPr>
            <w:tcW w:w="7849" w:type="dxa"/>
          </w:tcPr>
          <w:p w:rsidR="00DF79D0" w:rsidRDefault="00BC1338">
            <w:pPr>
              <w:pStyle w:val="TableText"/>
              <w:rPr>
                <w:rFonts w:ascii="Times New Roman" w:eastAsia="仿宋" w:hAnsi="Times New Roman" w:cs="Times New Roman"/>
                <w:color w:val="auto"/>
                <w:lang w:eastAsia="zh-CN"/>
              </w:rPr>
            </w:pP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广东省中医院局</w:t>
            </w:r>
          </w:p>
        </w:tc>
      </w:tr>
      <w:tr w:rsidR="00DF79D0" w:rsidTr="00BD4622">
        <w:trPr>
          <w:trHeight w:val="557"/>
        </w:trPr>
        <w:tc>
          <w:tcPr>
            <w:tcW w:w="1619" w:type="dxa"/>
            <w:vAlign w:val="center"/>
          </w:tcPr>
          <w:p w:rsidR="00DF79D0" w:rsidRDefault="00BC1338" w:rsidP="00BD4622">
            <w:pPr>
              <w:spacing w:before="173" w:line="232" w:lineRule="auto"/>
              <w:jc w:val="center"/>
              <w:rPr>
                <w:rFonts w:ascii="Times New Roman" w:eastAsia="仿宋" w:hAnsi="Times New Roman" w:cs="Times New Roman"/>
                <w:b/>
                <w:bCs/>
                <w:spacing w:val="3"/>
                <w:sz w:val="20"/>
                <w:szCs w:val="20"/>
                <w:lang w:eastAsia="zh-CN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3"/>
                <w:sz w:val="20"/>
                <w:szCs w:val="20"/>
                <w:lang w:eastAsia="zh-CN"/>
              </w:rPr>
              <w:t>拟提名奖项及等级</w:t>
            </w:r>
          </w:p>
        </w:tc>
        <w:tc>
          <w:tcPr>
            <w:tcW w:w="7849" w:type="dxa"/>
          </w:tcPr>
          <w:p w:rsidR="00DF79D0" w:rsidRDefault="00BC1338">
            <w:pPr>
              <w:pStyle w:val="TableText"/>
              <w:rPr>
                <w:rFonts w:ascii="Times New Roman" w:eastAsia="仿宋" w:hAnsi="Times New Roman" w:cs="Times New Roman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广东省科技进步奖二等奖</w:t>
            </w:r>
          </w:p>
        </w:tc>
      </w:tr>
      <w:tr w:rsidR="00DF79D0" w:rsidTr="00BD4622">
        <w:trPr>
          <w:trHeight w:val="413"/>
        </w:trPr>
        <w:tc>
          <w:tcPr>
            <w:tcW w:w="1619" w:type="dxa"/>
            <w:vMerge w:val="restart"/>
            <w:tcBorders>
              <w:bottom w:val="nil"/>
            </w:tcBorders>
            <w:vAlign w:val="center"/>
          </w:tcPr>
          <w:p w:rsidR="00DF79D0" w:rsidRDefault="00BC1338" w:rsidP="00BD4622">
            <w:pPr>
              <w:spacing w:before="65" w:line="229" w:lineRule="auto"/>
              <w:ind w:left="195"/>
              <w:rPr>
                <w:rFonts w:ascii="Times New Roman" w:eastAsia="仿宋" w:hAnsi="Times New Roman" w:cs="Times New Roman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5"/>
                <w:sz w:val="20"/>
                <w:szCs w:val="20"/>
              </w:rPr>
              <w:t>主要完成单位</w:t>
            </w:r>
            <w:proofErr w:type="spellEnd"/>
          </w:p>
        </w:tc>
        <w:tc>
          <w:tcPr>
            <w:tcW w:w="7849" w:type="dxa"/>
          </w:tcPr>
          <w:p w:rsidR="00DF79D0" w:rsidRDefault="00BC1338" w:rsidP="004A4D84">
            <w:pPr>
              <w:spacing w:before="34" w:line="229" w:lineRule="auto"/>
              <w:rPr>
                <w:rFonts w:ascii="Times New Roman" w:eastAsia="仿宋" w:hAnsi="Times New Roman" w:cs="Times New Roman" w:hint="eastAsia"/>
                <w:sz w:val="20"/>
                <w:szCs w:val="20"/>
                <w:lang w:eastAsia="zh-CN"/>
              </w:rPr>
            </w:pP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>单位</w:t>
            </w: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eastAsia="zh-CN"/>
              </w:rPr>
              <w:t>1</w:t>
            </w:r>
            <w:r w:rsidR="004A4D84">
              <w:rPr>
                <w:rFonts w:asciiTheme="minorEastAsia" w:eastAsiaTheme="minorEastAsia" w:hAnsiTheme="minorEastAsia" w:cs="Times New Roman" w:hint="eastAsia"/>
                <w:spacing w:val="7"/>
                <w:sz w:val="20"/>
                <w:szCs w:val="20"/>
                <w:lang w:eastAsia="zh-CN"/>
              </w:rPr>
              <w:t xml:space="preserve"> </w:t>
            </w:r>
            <w:r w:rsidR="004A4D84">
              <w:rPr>
                <w:rFonts w:ascii="Times New Roman" w:eastAsia="仿宋" w:hAnsi="Times New Roman" w:cs="Times New Roman"/>
                <w:color w:val="auto"/>
                <w:lang w:eastAsia="zh-CN"/>
              </w:rPr>
              <w:t>广州中医药大学第二附属医院</w:t>
            </w:r>
          </w:p>
        </w:tc>
      </w:tr>
      <w:tr w:rsidR="00DF79D0" w:rsidTr="00BD4622">
        <w:trPr>
          <w:trHeight w:val="404"/>
        </w:trPr>
        <w:tc>
          <w:tcPr>
            <w:tcW w:w="1619" w:type="dxa"/>
            <w:vMerge/>
            <w:tcBorders>
              <w:top w:val="nil"/>
              <w:bottom w:val="nil"/>
            </w:tcBorders>
            <w:vAlign w:val="center"/>
          </w:tcPr>
          <w:p w:rsidR="00DF79D0" w:rsidRDefault="00DF79D0" w:rsidP="00BD4622">
            <w:pPr>
              <w:pStyle w:val="TableText"/>
              <w:jc w:val="center"/>
              <w:rPr>
                <w:rFonts w:ascii="Times New Roman" w:hAnsi="Times New Roman" w:cs="Times New Roman"/>
                <w:highlight w:val="yellow"/>
                <w:lang w:eastAsia="zh-CN"/>
              </w:rPr>
            </w:pPr>
          </w:p>
        </w:tc>
        <w:tc>
          <w:tcPr>
            <w:tcW w:w="7849" w:type="dxa"/>
          </w:tcPr>
          <w:p w:rsidR="00DF79D0" w:rsidRDefault="00BC1338">
            <w:pPr>
              <w:spacing w:before="34" w:line="229" w:lineRule="auto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>单位</w:t>
            </w: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>南京中医药大学</w:t>
            </w:r>
          </w:p>
        </w:tc>
      </w:tr>
      <w:tr w:rsidR="00DF79D0" w:rsidTr="00BD4622">
        <w:trPr>
          <w:trHeight w:val="417"/>
        </w:trPr>
        <w:tc>
          <w:tcPr>
            <w:tcW w:w="1619" w:type="dxa"/>
            <w:vMerge/>
            <w:tcBorders>
              <w:top w:val="nil"/>
            </w:tcBorders>
            <w:vAlign w:val="center"/>
          </w:tcPr>
          <w:p w:rsidR="00DF79D0" w:rsidRDefault="00DF79D0" w:rsidP="00BD4622">
            <w:pPr>
              <w:pStyle w:val="TableTex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849" w:type="dxa"/>
          </w:tcPr>
          <w:p w:rsidR="00DF79D0" w:rsidRDefault="00BC1338">
            <w:pPr>
              <w:spacing w:before="204" w:line="64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>单位</w:t>
            </w: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>北京中医药大学第三附属医院</w:t>
            </w:r>
          </w:p>
        </w:tc>
      </w:tr>
      <w:tr w:rsidR="00BD4622" w:rsidTr="00BD4622">
        <w:trPr>
          <w:trHeight w:val="402"/>
        </w:trPr>
        <w:tc>
          <w:tcPr>
            <w:tcW w:w="1619" w:type="dxa"/>
            <w:vMerge w:val="restart"/>
            <w:vAlign w:val="center"/>
          </w:tcPr>
          <w:p w:rsidR="00BD4622" w:rsidRDefault="00BD4622" w:rsidP="00BD4622">
            <w:pPr>
              <w:spacing w:before="65" w:line="243" w:lineRule="auto"/>
              <w:ind w:left="123" w:right="52" w:firstLine="175"/>
              <w:rPr>
                <w:rFonts w:ascii="Times New Roman" w:eastAsia="仿宋" w:hAnsi="Times New Roman" w:cs="Times New Roman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4"/>
                <w:sz w:val="20"/>
                <w:szCs w:val="20"/>
                <w:lang w:eastAsia="zh-CN"/>
              </w:rPr>
              <w:t>主要完成人</w:t>
            </w:r>
            <w:r>
              <w:rPr>
                <w:rFonts w:ascii="Times New Roman" w:eastAsia="仿宋" w:hAnsi="Times New Roman" w:cs="Times New Roman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ascii="Times New Roman" w:eastAsia="仿宋" w:hAnsi="Times New Roman" w:cs="Times New Roman"/>
                <w:b/>
                <w:bCs/>
                <w:spacing w:val="-5"/>
                <w:sz w:val="20"/>
                <w:szCs w:val="20"/>
                <w:lang w:eastAsia="zh-CN"/>
              </w:rPr>
              <w:t>（职称、完成单</w:t>
            </w:r>
            <w:r>
              <w:rPr>
                <w:rFonts w:ascii="Times New Roman" w:eastAsia="仿宋" w:hAnsi="Times New Roman" w:cs="Times New Roman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仿宋" w:hAnsi="Times New Roman" w:cs="Times New Roman"/>
                <w:b/>
                <w:bCs/>
                <w:spacing w:val="3"/>
                <w:sz w:val="20"/>
                <w:szCs w:val="20"/>
                <w:lang w:eastAsia="zh-CN"/>
              </w:rPr>
              <w:t>位、工作单位）</w:t>
            </w:r>
          </w:p>
        </w:tc>
        <w:tc>
          <w:tcPr>
            <w:tcW w:w="7849" w:type="dxa"/>
            <w:vAlign w:val="center"/>
          </w:tcPr>
          <w:p w:rsidR="00BD4622" w:rsidRDefault="00BD4622" w:rsidP="004A4D84">
            <w:pPr>
              <w:rPr>
                <w:rFonts w:ascii="Times New Roman" w:eastAsia="仿宋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1.</w:t>
            </w:r>
            <w:r>
              <w:rPr>
                <w:rFonts w:ascii="Times New Roman" w:eastAsia="仿宋" w:hAnsi="Times New Roman" w:cs="Times New Roman"/>
                <w:lang w:eastAsia="zh-CN"/>
              </w:rPr>
              <w:t>张海波（职称：主任医师</w:t>
            </w:r>
            <w:r>
              <w:rPr>
                <w:rFonts w:ascii="Times New Roman" w:eastAsia="仿宋" w:hAnsi="Times New Roman" w:cs="Times New Roman"/>
                <w:lang w:eastAsia="zh-CN"/>
              </w:rPr>
              <w:t>/</w:t>
            </w:r>
            <w:r>
              <w:rPr>
                <w:rFonts w:ascii="Times New Roman" w:eastAsia="仿宋" w:hAnsi="Times New Roman" w:cs="Times New Roman"/>
                <w:lang w:eastAsia="zh-CN"/>
              </w:rPr>
              <w:t>教授，工作单位：</w:t>
            </w:r>
            <w:r w:rsidR="004A4D84">
              <w:rPr>
                <w:rFonts w:ascii="Times New Roman" w:eastAsia="仿宋" w:hAnsi="Times New Roman" w:cs="Times New Roman"/>
                <w:color w:val="auto"/>
                <w:lang w:eastAsia="zh-CN"/>
              </w:rPr>
              <w:t>广州中医药大学第二附属医院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，完成单位：广州中医药大学第二附属医院，主要贡献：代表性论文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1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通讯作者</w:t>
            </w:r>
            <w:r>
              <w:rPr>
                <w:rFonts w:ascii="Times New Roman" w:eastAsia="仿宋" w:hAnsi="Times New Roman" w:cs="Times New Roman" w:hint="eastAsia"/>
                <w:color w:val="auto"/>
                <w:lang w:eastAsia="zh-CN"/>
              </w:rPr>
              <w:t>，专利</w:t>
            </w:r>
            <w:r>
              <w:rPr>
                <w:rFonts w:ascii="Times New Roman" w:eastAsia="仿宋" w:hAnsi="Times New Roman" w:cs="Times New Roman" w:hint="eastAsia"/>
                <w:color w:val="auto"/>
                <w:lang w:eastAsia="zh-CN"/>
              </w:rPr>
              <w:t>1</w:t>
            </w:r>
            <w:r>
              <w:rPr>
                <w:rFonts w:ascii="Times New Roman" w:eastAsia="仿宋" w:hAnsi="Times New Roman" w:cs="Times New Roman" w:hint="eastAsia"/>
                <w:color w:val="auto"/>
                <w:lang w:eastAsia="zh-CN"/>
              </w:rPr>
              <w:t>发明人</w:t>
            </w:r>
            <w:r>
              <w:rPr>
                <w:rFonts w:ascii="Times New Roman" w:eastAsia="仿宋" w:hAnsi="Times New Roman" w:cs="Times New Roman"/>
                <w:lang w:eastAsia="zh-CN"/>
              </w:rPr>
              <w:t>）</w:t>
            </w:r>
          </w:p>
        </w:tc>
      </w:tr>
      <w:tr w:rsidR="00BD4622" w:rsidTr="00436ADB">
        <w:trPr>
          <w:trHeight w:val="402"/>
        </w:trPr>
        <w:tc>
          <w:tcPr>
            <w:tcW w:w="1619" w:type="dxa"/>
            <w:vMerge/>
          </w:tcPr>
          <w:p w:rsidR="00BD4622" w:rsidRDefault="00BD4622">
            <w:pPr>
              <w:pStyle w:val="TableText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vAlign w:val="center"/>
          </w:tcPr>
          <w:p w:rsidR="00BD4622" w:rsidRDefault="00BD4622">
            <w:pPr>
              <w:rPr>
                <w:rFonts w:ascii="Times New Roman" w:eastAsia="仿宋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2.</w:t>
            </w:r>
            <w:r>
              <w:rPr>
                <w:rFonts w:ascii="Times New Roman" w:eastAsia="仿宋" w:hAnsi="Times New Roman" w:cs="Times New Roman"/>
                <w:lang w:eastAsia="zh-CN"/>
              </w:rPr>
              <w:t>程海波（职称：教授</w:t>
            </w:r>
            <w:r>
              <w:rPr>
                <w:rFonts w:ascii="Times New Roman" w:eastAsia="仿宋" w:hAnsi="Times New Roman" w:cs="Times New Roman"/>
                <w:lang w:eastAsia="zh-CN"/>
              </w:rPr>
              <w:t>/</w:t>
            </w:r>
            <w:r>
              <w:rPr>
                <w:rFonts w:ascii="Times New Roman" w:eastAsia="仿宋" w:hAnsi="Times New Roman" w:cs="Times New Roman"/>
                <w:lang w:eastAsia="zh-CN"/>
              </w:rPr>
              <w:t>主任医师，工作单位：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南京</w:t>
            </w: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>中医药大学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，完成单位：南京中医药大学，主要贡献：代表性论文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2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通讯作者，论著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3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主编</w:t>
            </w:r>
            <w:r>
              <w:rPr>
                <w:rFonts w:ascii="Times New Roman" w:eastAsia="仿宋" w:hAnsi="Times New Roman" w:cs="Times New Roman"/>
                <w:lang w:eastAsia="zh-CN"/>
              </w:rPr>
              <w:t>）</w:t>
            </w:r>
          </w:p>
        </w:tc>
      </w:tr>
      <w:tr w:rsidR="00BD4622" w:rsidTr="00436ADB">
        <w:trPr>
          <w:trHeight w:val="402"/>
        </w:trPr>
        <w:tc>
          <w:tcPr>
            <w:tcW w:w="1619" w:type="dxa"/>
            <w:vMerge/>
          </w:tcPr>
          <w:p w:rsidR="00BD4622" w:rsidRDefault="00BD4622">
            <w:pPr>
              <w:pStyle w:val="TableText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vAlign w:val="center"/>
          </w:tcPr>
          <w:p w:rsidR="00BD4622" w:rsidRDefault="00BD4622">
            <w:pPr>
              <w:rPr>
                <w:rFonts w:ascii="Times New Roman" w:eastAsia="仿宋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3.</w:t>
            </w:r>
            <w:r>
              <w:rPr>
                <w:rFonts w:ascii="Times New Roman" w:eastAsia="仿宋" w:hAnsi="Times New Roman" w:cs="Times New Roman"/>
                <w:lang w:eastAsia="zh-CN"/>
              </w:rPr>
              <w:t>黄金</w:t>
            </w:r>
            <w:proofErr w:type="gramStart"/>
            <w:r>
              <w:rPr>
                <w:rFonts w:ascii="Times New Roman" w:eastAsia="仿宋" w:hAnsi="Times New Roman" w:cs="Times New Roman"/>
                <w:lang w:eastAsia="zh-CN"/>
              </w:rPr>
              <w:t>昶</w:t>
            </w:r>
            <w:proofErr w:type="gramEnd"/>
            <w:r>
              <w:rPr>
                <w:rFonts w:ascii="Times New Roman" w:eastAsia="仿宋" w:hAnsi="Times New Roman" w:cs="Times New Roman"/>
                <w:lang w:eastAsia="zh-CN"/>
              </w:rPr>
              <w:t>（职称：主任医师</w:t>
            </w:r>
            <w:r>
              <w:rPr>
                <w:rFonts w:ascii="Times New Roman" w:eastAsia="仿宋" w:hAnsi="Times New Roman" w:cs="Times New Roman"/>
                <w:lang w:eastAsia="zh-CN"/>
              </w:rPr>
              <w:t>/</w:t>
            </w:r>
            <w:r>
              <w:rPr>
                <w:rFonts w:ascii="Times New Roman" w:eastAsia="仿宋" w:hAnsi="Times New Roman" w:cs="Times New Roman"/>
                <w:lang w:eastAsia="zh-CN"/>
              </w:rPr>
              <w:t>教授，工作单位：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北京中医药大学第三附属医院，完成单位：北京中医药大学第三附属医院，主要贡献：代表性论文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4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通讯作者</w:t>
            </w:r>
            <w:r>
              <w:rPr>
                <w:rFonts w:ascii="Times New Roman" w:eastAsia="仿宋" w:hAnsi="Times New Roman" w:cs="Times New Roman"/>
                <w:lang w:eastAsia="zh-CN"/>
              </w:rPr>
              <w:t>）</w:t>
            </w:r>
          </w:p>
        </w:tc>
      </w:tr>
      <w:tr w:rsidR="00BD4622" w:rsidTr="00436ADB">
        <w:trPr>
          <w:trHeight w:val="90"/>
        </w:trPr>
        <w:tc>
          <w:tcPr>
            <w:tcW w:w="1619" w:type="dxa"/>
            <w:vMerge/>
          </w:tcPr>
          <w:p w:rsidR="00BD4622" w:rsidRDefault="00BD4622">
            <w:pPr>
              <w:pStyle w:val="TableText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tcBorders>
              <w:bottom w:val="single" w:sz="4" w:space="0" w:color="auto"/>
            </w:tcBorders>
            <w:vAlign w:val="center"/>
          </w:tcPr>
          <w:p w:rsidR="00BD4622" w:rsidRDefault="00BD4622" w:rsidP="004A4D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4.</w:t>
            </w:r>
            <w:r>
              <w:rPr>
                <w:rFonts w:ascii="Times New Roman" w:eastAsia="仿宋" w:hAnsi="Times New Roman" w:cs="Times New Roman"/>
                <w:lang w:eastAsia="zh-CN"/>
              </w:rPr>
              <w:t>吴万垠（职称：教授</w:t>
            </w:r>
            <w:r>
              <w:rPr>
                <w:rFonts w:ascii="Times New Roman" w:eastAsia="仿宋" w:hAnsi="Times New Roman" w:cs="Times New Roman"/>
                <w:lang w:eastAsia="zh-CN"/>
              </w:rPr>
              <w:t>/</w:t>
            </w:r>
            <w:r>
              <w:rPr>
                <w:rFonts w:ascii="Times New Roman" w:eastAsia="仿宋" w:hAnsi="Times New Roman" w:cs="Times New Roman"/>
                <w:lang w:eastAsia="zh-CN"/>
              </w:rPr>
              <w:t>主任医师，工作单位：</w:t>
            </w:r>
            <w:r w:rsidR="004A4D84">
              <w:rPr>
                <w:rFonts w:ascii="Times New Roman" w:eastAsia="仿宋" w:hAnsi="Times New Roman" w:cs="Times New Roman"/>
                <w:color w:val="auto"/>
                <w:lang w:eastAsia="zh-CN"/>
              </w:rPr>
              <w:t>广州中医药大学第二附属医院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，完成单位：</w:t>
            </w:r>
            <w:r w:rsidR="004A4D84">
              <w:rPr>
                <w:rFonts w:ascii="Times New Roman" w:eastAsia="仿宋" w:hAnsi="Times New Roman" w:cs="Times New Roman"/>
                <w:color w:val="auto"/>
                <w:lang w:eastAsia="zh-CN"/>
              </w:rPr>
              <w:t>广州中医药大学第二附属医院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，主要贡献：代表性论文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5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通讯作者</w:t>
            </w:r>
            <w:r>
              <w:rPr>
                <w:rFonts w:ascii="Times New Roman" w:eastAsia="仿宋" w:hAnsi="Times New Roman" w:cs="Times New Roman"/>
                <w:lang w:eastAsia="zh-CN"/>
              </w:rPr>
              <w:t>）</w:t>
            </w:r>
          </w:p>
        </w:tc>
      </w:tr>
      <w:tr w:rsidR="00BD4622" w:rsidTr="00436ADB">
        <w:trPr>
          <w:trHeight w:val="216"/>
        </w:trPr>
        <w:tc>
          <w:tcPr>
            <w:tcW w:w="1619" w:type="dxa"/>
            <w:vMerge/>
          </w:tcPr>
          <w:p w:rsidR="00BD4622" w:rsidRDefault="00BD4622">
            <w:pPr>
              <w:pStyle w:val="TableText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622" w:rsidRDefault="00BD4622" w:rsidP="004A4D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5.</w:t>
            </w:r>
            <w:r>
              <w:rPr>
                <w:rFonts w:ascii="Times New Roman" w:eastAsia="仿宋" w:hAnsi="Times New Roman" w:cs="Times New Roman"/>
                <w:lang w:eastAsia="zh-CN"/>
              </w:rPr>
              <w:t>何怡瀚（职称：副研究员，工作单位：</w:t>
            </w:r>
            <w:r w:rsidR="004A4D84">
              <w:rPr>
                <w:rFonts w:ascii="Times New Roman" w:eastAsia="仿宋" w:hAnsi="Times New Roman" w:cs="Times New Roman"/>
                <w:color w:val="auto"/>
                <w:lang w:eastAsia="zh-CN"/>
              </w:rPr>
              <w:t>广州中医药大学第二附属医院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，完成单位：</w:t>
            </w:r>
            <w:r w:rsidR="004A4D84">
              <w:rPr>
                <w:rFonts w:ascii="Times New Roman" w:eastAsia="仿宋" w:hAnsi="Times New Roman" w:cs="Times New Roman"/>
                <w:color w:val="auto"/>
                <w:lang w:eastAsia="zh-CN"/>
              </w:rPr>
              <w:t>广州中医药大学第二附属医院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，主要贡献：代表性论文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1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第一作者</w:t>
            </w:r>
            <w:r>
              <w:rPr>
                <w:rFonts w:ascii="Times New Roman" w:eastAsia="仿宋" w:hAnsi="Times New Roman" w:cs="Times New Roman" w:hint="eastAsia"/>
                <w:color w:val="auto"/>
                <w:lang w:eastAsia="zh-CN"/>
              </w:rPr>
              <w:t>，专利</w:t>
            </w:r>
            <w:r>
              <w:rPr>
                <w:rFonts w:ascii="Times New Roman" w:eastAsia="仿宋" w:hAnsi="Times New Roman" w:cs="Times New Roman" w:hint="eastAsia"/>
                <w:color w:val="auto"/>
                <w:lang w:eastAsia="zh-CN"/>
              </w:rPr>
              <w:t>1</w:t>
            </w:r>
            <w:r>
              <w:rPr>
                <w:rFonts w:ascii="Times New Roman" w:eastAsia="仿宋" w:hAnsi="Times New Roman" w:cs="Times New Roman" w:hint="eastAsia"/>
                <w:color w:val="auto"/>
                <w:lang w:eastAsia="zh-CN"/>
              </w:rPr>
              <w:t>发明人</w:t>
            </w:r>
            <w:r>
              <w:rPr>
                <w:rFonts w:ascii="Times New Roman" w:eastAsia="仿宋" w:hAnsi="Times New Roman" w:cs="Times New Roman"/>
                <w:lang w:eastAsia="zh-CN"/>
              </w:rPr>
              <w:t>）</w:t>
            </w:r>
          </w:p>
        </w:tc>
      </w:tr>
      <w:tr w:rsidR="00BD4622" w:rsidTr="00436ADB">
        <w:trPr>
          <w:trHeight w:val="216"/>
        </w:trPr>
        <w:tc>
          <w:tcPr>
            <w:tcW w:w="1619" w:type="dxa"/>
            <w:vMerge/>
          </w:tcPr>
          <w:p w:rsidR="00BD4622" w:rsidRDefault="00BD4622">
            <w:pPr>
              <w:pStyle w:val="TableText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622" w:rsidRDefault="00BD4622">
            <w:pPr>
              <w:rPr>
                <w:rFonts w:ascii="Times New Roman" w:eastAsia="仿宋" w:hAnsi="Times New Roman" w:cs="Times New Roman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6.</w:t>
            </w:r>
            <w:r>
              <w:rPr>
                <w:rFonts w:ascii="Times New Roman" w:eastAsia="仿宋" w:hAnsi="Times New Roman" w:cs="Times New Roman"/>
                <w:lang w:eastAsia="zh-CN"/>
              </w:rPr>
              <w:t>徐斌（职称：</w:t>
            </w:r>
            <w:r w:rsidR="00A014AD">
              <w:rPr>
                <w:rFonts w:ascii="Times New Roman" w:eastAsia="仿宋" w:hAnsi="Times New Roman" w:cs="Times New Roman" w:hint="eastAsia"/>
                <w:lang w:eastAsia="zh-CN"/>
              </w:rPr>
              <w:t>研究员</w:t>
            </w:r>
            <w:r>
              <w:rPr>
                <w:rFonts w:ascii="Times New Roman" w:eastAsia="仿宋" w:hAnsi="Times New Roman" w:cs="Times New Roman"/>
                <w:lang w:eastAsia="zh-CN"/>
              </w:rPr>
              <w:t>，工作单位：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南京</w:t>
            </w: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>中医药大学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，完成单位：南京中医药大学，主要贡献：论著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3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主编</w:t>
            </w:r>
            <w:r>
              <w:rPr>
                <w:rFonts w:ascii="Times New Roman" w:eastAsia="仿宋" w:hAnsi="Times New Roman" w:cs="Times New Roman"/>
                <w:lang w:eastAsia="zh-CN"/>
              </w:rPr>
              <w:t>）</w:t>
            </w:r>
          </w:p>
        </w:tc>
      </w:tr>
      <w:tr w:rsidR="00BD4622" w:rsidTr="00436ADB">
        <w:trPr>
          <w:trHeight w:val="111"/>
        </w:trPr>
        <w:tc>
          <w:tcPr>
            <w:tcW w:w="1619" w:type="dxa"/>
            <w:vMerge/>
          </w:tcPr>
          <w:p w:rsidR="00BD4622" w:rsidRDefault="00BD4622">
            <w:pPr>
              <w:pStyle w:val="TableText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622" w:rsidRDefault="00BD46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仿宋" w:hAnsi="Times New Roman" w:cs="Times New Roman" w:hint="eastAsia"/>
                <w:lang w:eastAsia="zh-CN"/>
              </w:rPr>
              <w:t>7</w:t>
            </w:r>
            <w:r>
              <w:rPr>
                <w:rFonts w:ascii="Times New Roman" w:eastAsia="仿宋" w:hAnsi="Times New Roman" w:cs="Times New Roman"/>
                <w:lang w:eastAsia="zh-CN"/>
              </w:rPr>
              <w:t>.</w:t>
            </w:r>
            <w:r>
              <w:rPr>
                <w:rFonts w:ascii="Times New Roman" w:eastAsia="仿宋" w:hAnsi="Times New Roman" w:cs="Times New Roman"/>
                <w:lang w:eastAsia="zh-CN"/>
              </w:rPr>
              <w:t>朱燕娟（职称：副主任医师，工作单位：</w:t>
            </w:r>
            <w:r w:rsidR="004A4D84">
              <w:rPr>
                <w:rFonts w:ascii="Times New Roman" w:eastAsia="仿宋" w:hAnsi="Times New Roman" w:cs="Times New Roman"/>
                <w:color w:val="auto"/>
                <w:lang w:eastAsia="zh-CN"/>
              </w:rPr>
              <w:t>广州中医药大学第二附属医院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，完成单位：</w:t>
            </w:r>
            <w:r w:rsidR="004A4D84">
              <w:rPr>
                <w:rFonts w:ascii="Times New Roman" w:eastAsia="仿宋" w:hAnsi="Times New Roman" w:cs="Times New Roman"/>
                <w:color w:val="auto"/>
                <w:lang w:eastAsia="zh-CN"/>
              </w:rPr>
              <w:t>广州中医药大学第二附属医院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，主要贡献：</w:t>
            </w:r>
            <w:r>
              <w:rPr>
                <w:rFonts w:ascii="Times New Roman" w:eastAsia="仿宋" w:hAnsi="Times New Roman" w:cs="Times New Roman" w:hint="eastAsia"/>
                <w:color w:val="auto"/>
                <w:lang w:eastAsia="zh-CN"/>
              </w:rPr>
              <w:t>专利</w:t>
            </w:r>
            <w:r>
              <w:rPr>
                <w:rFonts w:ascii="Times New Roman" w:eastAsia="仿宋" w:hAnsi="Times New Roman" w:cs="Times New Roman" w:hint="eastAsia"/>
                <w:color w:val="auto"/>
                <w:lang w:eastAsia="zh-CN"/>
              </w:rPr>
              <w:t>1</w:t>
            </w:r>
            <w:r>
              <w:rPr>
                <w:rFonts w:ascii="Times New Roman" w:eastAsia="仿宋" w:hAnsi="Times New Roman" w:cs="Times New Roman" w:hint="eastAsia"/>
                <w:color w:val="auto"/>
                <w:lang w:eastAsia="zh-CN"/>
              </w:rPr>
              <w:t>发明人</w:t>
            </w:r>
            <w:r>
              <w:rPr>
                <w:rFonts w:ascii="Times New Roman" w:eastAsia="仿宋" w:hAnsi="Times New Roman" w:cs="Times New Roman"/>
                <w:lang w:eastAsia="zh-CN"/>
              </w:rPr>
              <w:t>）</w:t>
            </w:r>
          </w:p>
        </w:tc>
      </w:tr>
      <w:tr w:rsidR="00BD4622" w:rsidTr="00436ADB">
        <w:trPr>
          <w:trHeight w:val="126"/>
        </w:trPr>
        <w:tc>
          <w:tcPr>
            <w:tcW w:w="1619" w:type="dxa"/>
            <w:vMerge/>
          </w:tcPr>
          <w:p w:rsidR="00BD4622" w:rsidRDefault="00BD4622">
            <w:pPr>
              <w:pStyle w:val="TableText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622" w:rsidRDefault="00BD46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仿宋" w:hAnsi="Times New Roman" w:cs="Times New Roman" w:hint="eastAsia"/>
                <w:lang w:eastAsia="zh-CN"/>
              </w:rPr>
              <w:t>8</w:t>
            </w:r>
            <w:r>
              <w:rPr>
                <w:rFonts w:ascii="Times New Roman" w:eastAsia="仿宋" w:hAnsi="Times New Roman" w:cs="Times New Roman"/>
                <w:lang w:eastAsia="zh-CN"/>
              </w:rPr>
              <w:t>.</w:t>
            </w:r>
            <w:r>
              <w:rPr>
                <w:rFonts w:ascii="Times New Roman" w:eastAsia="仿宋" w:hAnsi="Times New Roman" w:cs="Times New Roman"/>
                <w:lang w:eastAsia="zh-CN"/>
              </w:rPr>
              <w:t>王苏美（职称：副研究员，工作单位：</w:t>
            </w:r>
            <w:r w:rsidR="004A4D84">
              <w:rPr>
                <w:rFonts w:ascii="Times New Roman" w:eastAsia="仿宋" w:hAnsi="Times New Roman" w:cs="Times New Roman"/>
                <w:color w:val="auto"/>
                <w:lang w:eastAsia="zh-CN"/>
              </w:rPr>
              <w:t>广州中医药大学第二附属医院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，完成单位：</w:t>
            </w:r>
            <w:r w:rsidR="004A4D84">
              <w:rPr>
                <w:rFonts w:ascii="Times New Roman" w:eastAsia="仿宋" w:hAnsi="Times New Roman" w:cs="Times New Roman"/>
                <w:color w:val="auto"/>
                <w:lang w:eastAsia="zh-CN"/>
              </w:rPr>
              <w:t>广州中医药大学第二附属医院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，主要贡献：代表性论文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5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第一作者</w:t>
            </w:r>
            <w:r>
              <w:rPr>
                <w:rFonts w:ascii="Times New Roman" w:eastAsia="仿宋" w:hAnsi="Times New Roman" w:cs="Times New Roman"/>
                <w:lang w:eastAsia="zh-CN"/>
              </w:rPr>
              <w:t>）</w:t>
            </w:r>
          </w:p>
        </w:tc>
      </w:tr>
      <w:tr w:rsidR="00BD4622" w:rsidTr="00436ADB">
        <w:trPr>
          <w:trHeight w:val="171"/>
        </w:trPr>
        <w:tc>
          <w:tcPr>
            <w:tcW w:w="1619" w:type="dxa"/>
            <w:vMerge/>
          </w:tcPr>
          <w:p w:rsidR="00BD4622" w:rsidRDefault="00BD4622">
            <w:pPr>
              <w:pStyle w:val="TableText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4622" w:rsidRDefault="00BD4622">
            <w:pPr>
              <w:rPr>
                <w:rFonts w:ascii="Times New Roman" w:eastAsia="仿宋" w:hAnsi="Times New Roman" w:cs="Times New Roman"/>
                <w:lang w:eastAsia="zh-CN"/>
              </w:rPr>
            </w:pPr>
            <w:r>
              <w:rPr>
                <w:rFonts w:ascii="Times New Roman" w:eastAsia="仿宋" w:hAnsi="Times New Roman" w:cs="Times New Roman" w:hint="eastAsia"/>
                <w:lang w:eastAsia="zh-CN"/>
              </w:rPr>
              <w:t>9</w:t>
            </w:r>
            <w:r>
              <w:rPr>
                <w:rFonts w:ascii="Times New Roman" w:eastAsia="仿宋" w:hAnsi="Times New Roman" w:cs="Times New Roman"/>
                <w:lang w:eastAsia="zh-CN"/>
              </w:rPr>
              <w:t>.</w:t>
            </w:r>
            <w:r>
              <w:rPr>
                <w:rFonts w:ascii="Times New Roman" w:eastAsia="仿宋" w:hAnsi="Times New Roman" w:cs="Times New Roman"/>
                <w:lang w:eastAsia="zh-CN"/>
              </w:rPr>
              <w:t>李柳（职称：副教授</w:t>
            </w:r>
            <w:r>
              <w:rPr>
                <w:rFonts w:ascii="Times New Roman" w:eastAsia="仿宋" w:hAnsi="Times New Roman" w:cs="Times New Roman"/>
                <w:lang w:eastAsia="zh-CN"/>
              </w:rPr>
              <w:t>/</w:t>
            </w:r>
            <w:r>
              <w:rPr>
                <w:rFonts w:ascii="Times New Roman" w:eastAsia="仿宋" w:hAnsi="Times New Roman" w:cs="Times New Roman"/>
                <w:lang w:eastAsia="zh-CN"/>
              </w:rPr>
              <w:t>副主任中医师，工作单位：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南京</w:t>
            </w:r>
            <w:r>
              <w:rPr>
                <w:rFonts w:ascii="Times New Roman" w:eastAsia="仿宋" w:hAnsi="Times New Roman" w:cs="Times New Roman"/>
                <w:spacing w:val="7"/>
                <w:sz w:val="20"/>
                <w:szCs w:val="20"/>
                <w:lang w:eastAsia="zh-CN"/>
              </w:rPr>
              <w:t>中医药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大学，完成单位：南京中医药大学，主要贡献：代表性论文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2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第一作者</w:t>
            </w:r>
            <w:r>
              <w:rPr>
                <w:rFonts w:ascii="Times New Roman" w:eastAsia="仿宋" w:hAnsi="Times New Roman" w:cs="Times New Roman"/>
                <w:lang w:eastAsia="zh-CN"/>
              </w:rPr>
              <w:t>）</w:t>
            </w:r>
          </w:p>
        </w:tc>
      </w:tr>
      <w:tr w:rsidR="00BD4622" w:rsidTr="00436ADB">
        <w:trPr>
          <w:trHeight w:val="613"/>
        </w:trPr>
        <w:tc>
          <w:tcPr>
            <w:tcW w:w="1619" w:type="dxa"/>
            <w:vMerge/>
          </w:tcPr>
          <w:p w:rsidR="00BD4622" w:rsidRDefault="00BD4622">
            <w:pPr>
              <w:pStyle w:val="TableText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4622" w:rsidRDefault="00BD4622">
            <w:pPr>
              <w:rPr>
                <w:rFonts w:ascii="Times New Roman" w:eastAsia="仿宋" w:hAnsi="Times New Roman" w:cs="Times New Roman"/>
                <w:lang w:eastAsia="zh-CN"/>
              </w:rPr>
            </w:pPr>
            <w:r>
              <w:rPr>
                <w:rFonts w:ascii="Times New Roman" w:eastAsia="仿宋" w:hAnsi="Times New Roman" w:cs="Times New Roman" w:hint="eastAsia"/>
                <w:lang w:eastAsia="zh-CN"/>
              </w:rPr>
              <w:t>10</w:t>
            </w:r>
            <w:r>
              <w:rPr>
                <w:rFonts w:ascii="Times New Roman" w:eastAsia="仿宋" w:hAnsi="Times New Roman" w:cs="Times New Roman"/>
                <w:lang w:eastAsia="zh-CN"/>
              </w:rPr>
              <w:t>.</w:t>
            </w:r>
            <w:r>
              <w:rPr>
                <w:rFonts w:ascii="Times New Roman" w:eastAsia="仿宋" w:hAnsi="Times New Roman" w:cs="Times New Roman"/>
                <w:lang w:eastAsia="zh-CN"/>
              </w:rPr>
              <w:t>万宇翔（职称：助理研究员，工作单位：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北京中医药大学第三附属医院，完成单位：北京中医药大学第三附属医院，主要贡献：代表性论文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4</w:t>
            </w:r>
            <w:r>
              <w:rPr>
                <w:rFonts w:ascii="Times New Roman" w:eastAsia="仿宋" w:hAnsi="Times New Roman" w:cs="Times New Roman"/>
                <w:color w:val="auto"/>
                <w:lang w:eastAsia="zh-CN"/>
              </w:rPr>
              <w:t>第一作者</w:t>
            </w:r>
            <w:r>
              <w:rPr>
                <w:rFonts w:ascii="Times New Roman" w:eastAsia="仿宋" w:hAnsi="Times New Roman" w:cs="Times New Roman"/>
                <w:lang w:eastAsia="zh-CN"/>
              </w:rPr>
              <w:t>）</w:t>
            </w:r>
          </w:p>
        </w:tc>
      </w:tr>
      <w:tr w:rsidR="00DF79D0" w:rsidTr="00BD4622">
        <w:trPr>
          <w:trHeight w:val="402"/>
        </w:trPr>
        <w:tc>
          <w:tcPr>
            <w:tcW w:w="1619" w:type="dxa"/>
            <w:vMerge w:val="restart"/>
            <w:vAlign w:val="center"/>
          </w:tcPr>
          <w:p w:rsidR="00DF79D0" w:rsidRDefault="00BC1338" w:rsidP="00BD4622">
            <w:pPr>
              <w:spacing w:before="65" w:line="241" w:lineRule="auto"/>
              <w:ind w:left="399" w:right="283" w:hanging="103"/>
              <w:jc w:val="center"/>
              <w:rPr>
                <w:rFonts w:ascii="Times New Roman" w:eastAsia="仿宋" w:hAnsi="Times New Roman" w:cs="Times New Roman"/>
                <w:lang w:eastAsia="zh-CN"/>
              </w:rPr>
            </w:pPr>
            <w:bookmarkStart w:id="0" w:name="_GoBack"/>
            <w:bookmarkEnd w:id="0"/>
            <w:r>
              <w:rPr>
                <w:rFonts w:ascii="Times New Roman" w:eastAsia="仿宋" w:hAnsi="Times New Roman" w:cs="Times New Roman"/>
                <w:lang w:eastAsia="zh-CN"/>
              </w:rPr>
              <w:t>代表性论文</w:t>
            </w:r>
            <w:r>
              <w:rPr>
                <w:rFonts w:ascii="Times New Roman" w:eastAsia="仿宋" w:hAnsi="Times New Roman" w:cs="Times New Roman"/>
                <w:lang w:eastAsia="zh-CN"/>
              </w:rPr>
              <w:t xml:space="preserve"> </w:t>
            </w:r>
            <w:r>
              <w:rPr>
                <w:rFonts w:ascii="Times New Roman" w:eastAsia="仿宋" w:hAnsi="Times New Roman" w:cs="Times New Roman"/>
                <w:lang w:eastAsia="zh-CN"/>
              </w:rPr>
              <w:t>专著目录</w:t>
            </w:r>
          </w:p>
        </w:tc>
        <w:tc>
          <w:tcPr>
            <w:tcW w:w="7849" w:type="dxa"/>
            <w:vAlign w:val="center"/>
          </w:tcPr>
          <w:p w:rsidR="00583E3C" w:rsidRDefault="00BC1338">
            <w:pP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</w:pPr>
            <w:r>
              <w:rPr>
                <w:rFonts w:ascii="Times New Roman" w:eastAsia="仿宋" w:hAnsi="Times New Roman" w:cs="Times New Roman"/>
              </w:rPr>
              <w:t>论文</w:t>
            </w:r>
            <w:r>
              <w:rPr>
                <w:rFonts w:ascii="Times New Roman" w:eastAsia="仿宋" w:hAnsi="Times New Roman" w:cs="Times New Roman"/>
              </w:rPr>
              <w:t>1</w:t>
            </w:r>
            <w:r>
              <w:rPr>
                <w:rFonts w:ascii="Times New Roman" w:eastAsia="仿宋" w:hAnsi="Times New Roman" w:cs="Times New Roman"/>
              </w:rPr>
              <w:t>：</w:t>
            </w:r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 xml:space="preserve">Clinical Evidence for Association of Acupuncture and Acupressure With Improved Cancer Pain: A Systematic Review and Meta-Analysis. JAMA </w:t>
            </w:r>
            <w:proofErr w:type="spellStart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>Oncol</w:t>
            </w:r>
            <w:proofErr w:type="spellEnd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>. 2020 Feb 1</w:t>
            </w:r>
            <w:proofErr w:type="gramStart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>;6</w:t>
            </w:r>
            <w:proofErr w:type="gramEnd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>(2):271-278.</w:t>
            </w:r>
          </w:p>
          <w:p w:rsidR="00DF79D0" w:rsidRDefault="00BC1338">
            <w:pPr>
              <w:rPr>
                <w:rFonts w:ascii="Times New Roman" w:eastAsia="仿宋" w:hAnsi="Times New Roman" w:cs="Times New Roman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张海波、何怡瀚</w:t>
            </w:r>
          </w:p>
        </w:tc>
      </w:tr>
      <w:tr w:rsidR="00DF79D0" w:rsidTr="00BD4622">
        <w:trPr>
          <w:trHeight w:val="402"/>
        </w:trPr>
        <w:tc>
          <w:tcPr>
            <w:tcW w:w="1619" w:type="dxa"/>
            <w:vMerge/>
            <w:vAlign w:val="center"/>
          </w:tcPr>
          <w:p w:rsidR="00DF79D0" w:rsidRDefault="00DF79D0" w:rsidP="00BD4622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vAlign w:val="center"/>
          </w:tcPr>
          <w:p w:rsidR="00583E3C" w:rsidRDefault="00BC1338">
            <w:pPr>
              <w:rPr>
                <w:rFonts w:ascii="Times New Roman" w:eastAsia="仿宋" w:hAnsi="Times New Roman" w:cs="Times New Roman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论文</w:t>
            </w:r>
            <w:r>
              <w:rPr>
                <w:rFonts w:ascii="Times New Roman" w:eastAsia="仿宋" w:hAnsi="Times New Roman" w:cs="Times New Roman"/>
                <w:lang w:eastAsia="zh-CN"/>
              </w:rPr>
              <w:t>2</w:t>
            </w:r>
            <w:r>
              <w:rPr>
                <w:rFonts w:ascii="Times New Roman" w:eastAsia="仿宋" w:hAnsi="Times New Roman" w:cs="Times New Roman"/>
                <w:lang w:eastAsia="zh-CN"/>
              </w:rPr>
              <w:t>：李柳</w:t>
            </w:r>
            <w:r>
              <w:rPr>
                <w:rFonts w:ascii="Times New Roman" w:eastAsia="仿宋" w:hAnsi="Times New Roman" w:cs="Times New Roman"/>
                <w:lang w:eastAsia="zh-CN"/>
              </w:rPr>
              <w:t>,</w:t>
            </w:r>
            <w:r>
              <w:rPr>
                <w:rFonts w:ascii="Times New Roman" w:eastAsia="仿宋" w:hAnsi="Times New Roman" w:cs="Times New Roman"/>
                <w:lang w:eastAsia="zh-CN"/>
              </w:rPr>
              <w:t>程海波</w:t>
            </w:r>
            <w:r>
              <w:rPr>
                <w:rFonts w:ascii="Times New Roman" w:eastAsia="仿宋" w:hAnsi="Times New Roman" w:cs="Times New Roman"/>
                <w:lang w:eastAsia="zh-CN"/>
              </w:rPr>
              <w:t>.</w:t>
            </w:r>
            <w:r>
              <w:rPr>
                <w:rFonts w:ascii="Times New Roman" w:eastAsia="仿宋" w:hAnsi="Times New Roman" w:cs="Times New Roman"/>
                <w:lang w:eastAsia="zh-CN"/>
              </w:rPr>
              <w:t>中医肿瘤癌毒证候特征探讨</w:t>
            </w:r>
            <w:r>
              <w:rPr>
                <w:rFonts w:ascii="Times New Roman" w:eastAsia="仿宋" w:hAnsi="Times New Roman" w:cs="Times New Roman"/>
                <w:lang w:eastAsia="zh-CN"/>
              </w:rPr>
              <w:t>[J].</w:t>
            </w:r>
            <w:r>
              <w:rPr>
                <w:rFonts w:ascii="Times New Roman" w:eastAsia="仿宋" w:hAnsi="Times New Roman" w:cs="Times New Roman"/>
                <w:lang w:eastAsia="zh-CN"/>
              </w:rPr>
              <w:t>中医杂志</w:t>
            </w:r>
            <w:r>
              <w:rPr>
                <w:rFonts w:ascii="Times New Roman" w:eastAsia="仿宋" w:hAnsi="Times New Roman" w:cs="Times New Roman"/>
                <w:lang w:eastAsia="zh-CN"/>
              </w:rPr>
              <w:t>2022,63(02):106-110.</w:t>
            </w:r>
          </w:p>
          <w:p w:rsidR="00DF79D0" w:rsidRPr="00583E3C" w:rsidRDefault="00BC1338">
            <w:pPr>
              <w:rPr>
                <w:rFonts w:ascii="Times New Roman" w:eastAsia="仿宋" w:hAnsi="Times New Roman" w:cs="Times New Roman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程海波、李柳</w:t>
            </w:r>
          </w:p>
        </w:tc>
      </w:tr>
      <w:tr w:rsidR="00DF79D0" w:rsidTr="00BD4622">
        <w:trPr>
          <w:trHeight w:val="402"/>
        </w:trPr>
        <w:tc>
          <w:tcPr>
            <w:tcW w:w="1619" w:type="dxa"/>
            <w:vMerge/>
            <w:vAlign w:val="center"/>
          </w:tcPr>
          <w:p w:rsidR="00DF79D0" w:rsidRDefault="00DF79D0" w:rsidP="00BD4622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vAlign w:val="center"/>
          </w:tcPr>
          <w:p w:rsidR="00DF79D0" w:rsidRDefault="00BC1338">
            <w:pPr>
              <w:rPr>
                <w:rFonts w:ascii="Times New Roman" w:eastAsia="仿宋" w:hAnsi="Times New Roman" w:cs="Times New Roman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论著</w:t>
            </w:r>
            <w:r>
              <w:rPr>
                <w:rFonts w:ascii="Times New Roman" w:eastAsia="仿宋" w:hAnsi="Times New Roman" w:cs="Times New Roman"/>
                <w:lang w:eastAsia="zh-CN"/>
              </w:rPr>
              <w:t>3</w:t>
            </w:r>
            <w:r>
              <w:rPr>
                <w:rFonts w:ascii="Times New Roman" w:eastAsia="仿宋" w:hAnsi="Times New Roman" w:cs="Times New Roman"/>
                <w:lang w:eastAsia="zh-CN"/>
              </w:rPr>
              <w:t>：《针药结合学》，出版社：中国中医药出版社，出版时间：</w:t>
            </w:r>
            <w:r>
              <w:rPr>
                <w:rFonts w:ascii="Times New Roman" w:eastAsia="仿宋" w:hAnsi="Times New Roman" w:cs="Times New Roman"/>
                <w:lang w:eastAsia="zh-CN"/>
              </w:rPr>
              <w:t>2021</w:t>
            </w:r>
            <w:r>
              <w:rPr>
                <w:rFonts w:ascii="Times New Roman" w:eastAsia="仿宋" w:hAnsi="Times New Roman" w:cs="Times New Roman"/>
                <w:lang w:eastAsia="zh-CN"/>
              </w:rPr>
              <w:t>年，</w:t>
            </w:r>
          </w:p>
          <w:p w:rsidR="00DF79D0" w:rsidRDefault="00BC1338">
            <w:pPr>
              <w:rPr>
                <w:rFonts w:ascii="Times New Roman" w:eastAsia="仿宋" w:hAnsi="Times New Roman" w:cs="Times New Roman"/>
                <w:color w:val="212121"/>
                <w:sz w:val="19"/>
                <w:szCs w:val="19"/>
                <w:shd w:val="clear" w:color="auto" w:fill="FFFFFF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主编：程海波，徐斌</w:t>
            </w:r>
          </w:p>
        </w:tc>
      </w:tr>
      <w:tr w:rsidR="00DF79D0" w:rsidTr="00BD4622">
        <w:trPr>
          <w:trHeight w:val="406"/>
        </w:trPr>
        <w:tc>
          <w:tcPr>
            <w:tcW w:w="1619" w:type="dxa"/>
            <w:vMerge/>
            <w:vAlign w:val="center"/>
          </w:tcPr>
          <w:p w:rsidR="00DF79D0" w:rsidRDefault="00DF79D0" w:rsidP="00BD4622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vAlign w:val="center"/>
          </w:tcPr>
          <w:p w:rsidR="00DF79D0" w:rsidRDefault="00BC1338">
            <w:pP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论文</w:t>
            </w:r>
            <w:r>
              <w:rPr>
                <w:rFonts w:ascii="Times New Roman" w:eastAsia="仿宋" w:hAnsi="Times New Roman" w:cs="Times New Roman"/>
                <w:lang w:eastAsia="zh-CN"/>
              </w:rPr>
              <w:t>4</w:t>
            </w:r>
            <w:r>
              <w:rPr>
                <w:rFonts w:ascii="Times New Roman" w:eastAsia="仿宋" w:hAnsi="Times New Roman" w:cs="Times New Roman"/>
                <w:lang w:eastAsia="zh-CN"/>
              </w:rPr>
              <w:t>：</w:t>
            </w:r>
            <w:proofErr w:type="spellStart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>Electroacupuncture</w:t>
            </w:r>
            <w:proofErr w:type="spellEnd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 xml:space="preserve"> facilitates vascular normalization by inhibiting Glyoxalase1 in endothelial cells to attenuate glycolysis and angiogenesis in triple-negative breast cancer. Cancer Lett. 2024 Aug 28</w:t>
            </w:r>
            <w:proofErr w:type="gramStart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>;598:217094</w:t>
            </w:r>
            <w:proofErr w:type="gramEnd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>.</w:t>
            </w:r>
          </w:p>
          <w:p w:rsidR="00DF79D0" w:rsidRDefault="00BC1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黄金</w:t>
            </w:r>
            <w:proofErr w:type="gramStart"/>
            <w:r>
              <w:rPr>
                <w:rFonts w:ascii="Times New Roman" w:eastAsia="仿宋" w:hAnsi="Times New Roman" w:cs="Times New Roman"/>
                <w:lang w:eastAsia="zh-CN"/>
              </w:rPr>
              <w:t>昶</w:t>
            </w:r>
            <w:proofErr w:type="gramEnd"/>
            <w:r>
              <w:rPr>
                <w:rFonts w:ascii="Times New Roman" w:eastAsia="仿宋" w:hAnsi="Times New Roman" w:cs="Times New Roman"/>
                <w:lang w:eastAsia="zh-CN"/>
              </w:rPr>
              <w:t>、万宇翔</w:t>
            </w:r>
          </w:p>
        </w:tc>
      </w:tr>
      <w:tr w:rsidR="00DF79D0" w:rsidTr="00BD4622">
        <w:trPr>
          <w:trHeight w:val="406"/>
        </w:trPr>
        <w:tc>
          <w:tcPr>
            <w:tcW w:w="1619" w:type="dxa"/>
            <w:vMerge/>
            <w:vAlign w:val="center"/>
          </w:tcPr>
          <w:p w:rsidR="00DF79D0" w:rsidRDefault="00DF79D0" w:rsidP="00BD4622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49" w:type="dxa"/>
            <w:vAlign w:val="center"/>
          </w:tcPr>
          <w:p w:rsidR="00DF79D0" w:rsidRDefault="00BC1338">
            <w:pPr>
              <w:rPr>
                <w:rFonts w:ascii="Times New Roman" w:eastAsia="宋体" w:hAnsi="Times New Roman" w:cs="Times New Roman"/>
                <w:color w:val="212121"/>
                <w:sz w:val="19"/>
                <w:szCs w:val="19"/>
                <w:shd w:val="clear" w:color="auto" w:fill="FFFFFF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论文</w:t>
            </w:r>
            <w:r>
              <w:rPr>
                <w:rFonts w:ascii="Times New Roman" w:eastAsia="仿宋" w:hAnsi="Times New Roman" w:cs="Times New Roman"/>
                <w:lang w:eastAsia="zh-CN"/>
              </w:rPr>
              <w:t>5</w:t>
            </w:r>
            <w:r>
              <w:rPr>
                <w:rFonts w:ascii="Times New Roman" w:eastAsia="仿宋" w:hAnsi="Times New Roman" w:cs="Times New Roman"/>
                <w:lang w:eastAsia="zh-CN"/>
              </w:rPr>
              <w:t>：</w:t>
            </w:r>
            <w:proofErr w:type="spellStart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>Fuzheng</w:t>
            </w:r>
            <w:proofErr w:type="spellEnd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 xml:space="preserve"> Kang-Ai inhibits NSCLC cell proliferation via regulating hsa_circ_0048091/hsa-miR-378g/ARRDC3 pathway. </w:t>
            </w:r>
            <w:proofErr w:type="spellStart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>Phytomedicine</w:t>
            </w:r>
            <w:proofErr w:type="spellEnd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>. 2023 Jun</w:t>
            </w:r>
            <w:proofErr w:type="gramStart"/>
            <w:r>
              <w:rPr>
                <w:rFonts w:ascii="Times New Roman" w:eastAsia="Segoe UI" w:hAnsi="Times New Roman" w:cs="Times New Roman"/>
                <w:color w:val="212121"/>
                <w:sz w:val="19"/>
                <w:szCs w:val="19"/>
                <w:shd w:val="clear" w:color="auto" w:fill="FFFFFF"/>
              </w:rPr>
              <w:t>;114:154819</w:t>
            </w:r>
            <w:proofErr w:type="gramEnd"/>
            <w:r>
              <w:rPr>
                <w:rFonts w:ascii="Times New Roman" w:eastAsia="宋体" w:hAnsi="Times New Roman" w:cs="Times New Roman"/>
                <w:color w:val="212121"/>
                <w:sz w:val="19"/>
                <w:szCs w:val="19"/>
                <w:shd w:val="clear" w:color="auto" w:fill="FFFFFF"/>
                <w:lang w:eastAsia="zh-CN"/>
              </w:rPr>
              <w:t>.</w:t>
            </w:r>
          </w:p>
          <w:p w:rsidR="00DF79D0" w:rsidRDefault="00BC1338">
            <w:pP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lastRenderedPageBreak/>
              <w:t>吴万垠、王苏美</w:t>
            </w:r>
          </w:p>
        </w:tc>
      </w:tr>
      <w:tr w:rsidR="00DF79D0" w:rsidTr="00BD4622">
        <w:trPr>
          <w:trHeight w:val="406"/>
        </w:trPr>
        <w:tc>
          <w:tcPr>
            <w:tcW w:w="1619" w:type="dxa"/>
            <w:vAlign w:val="center"/>
          </w:tcPr>
          <w:p w:rsidR="00DF79D0" w:rsidRDefault="00BC1338" w:rsidP="00BD4622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lastRenderedPageBreak/>
              <w:t>知识产权名称</w:t>
            </w:r>
          </w:p>
        </w:tc>
        <w:tc>
          <w:tcPr>
            <w:tcW w:w="7849" w:type="dxa"/>
            <w:vAlign w:val="center"/>
          </w:tcPr>
          <w:p w:rsidR="00DF79D0" w:rsidRDefault="00BC1338">
            <w:pPr>
              <w:rPr>
                <w:rFonts w:ascii="Times New Roman" w:eastAsia="仿宋" w:hAnsi="Times New Roman" w:cs="Times New Roman"/>
                <w:lang w:eastAsia="zh-CN"/>
              </w:rPr>
            </w:pPr>
            <w:r>
              <w:rPr>
                <w:rFonts w:ascii="Times New Roman" w:eastAsia="仿宋" w:hAnsi="Times New Roman" w:cs="Times New Roman"/>
                <w:lang w:eastAsia="zh-CN"/>
              </w:rPr>
              <w:t>专利</w:t>
            </w:r>
            <w:r>
              <w:rPr>
                <w:rFonts w:ascii="Times New Roman" w:eastAsia="仿宋" w:hAnsi="Times New Roman" w:cs="Times New Roman"/>
                <w:lang w:eastAsia="zh-CN"/>
              </w:rPr>
              <w:t>1</w:t>
            </w:r>
            <w:r>
              <w:rPr>
                <w:rFonts w:ascii="Times New Roman" w:eastAsia="仿宋" w:hAnsi="Times New Roman" w:cs="Times New Roman"/>
                <w:lang w:eastAsia="zh-CN"/>
              </w:rPr>
              <w:t>：</w:t>
            </w:r>
            <w:r>
              <w:rPr>
                <w:rFonts w:ascii="Times New Roman" w:eastAsia="仿宋" w:hAnsi="Times New Roman" w:cs="Times New Roman"/>
                <w:lang w:eastAsia="zh-CN"/>
              </w:rPr>
              <w:t>&lt;</w:t>
            </w:r>
            <w:r>
              <w:rPr>
                <w:rFonts w:ascii="Times New Roman" w:eastAsia="仿宋" w:hAnsi="Times New Roman" w:cs="Times New Roman"/>
                <w:lang w:eastAsia="zh-CN"/>
              </w:rPr>
              <w:t>预防肠癌术后复发转移的中药组合物及其应用</w:t>
            </w:r>
            <w:r>
              <w:rPr>
                <w:rFonts w:ascii="Times New Roman" w:eastAsia="仿宋" w:hAnsi="Times New Roman" w:cs="Times New Roman"/>
                <w:lang w:eastAsia="zh-CN"/>
              </w:rPr>
              <w:t>&gt;</w:t>
            </w:r>
            <w:r>
              <w:rPr>
                <w:rFonts w:ascii="Times New Roman" w:eastAsia="仿宋" w:hAnsi="Times New Roman" w:cs="Times New Roman"/>
                <w:lang w:eastAsia="zh-CN"/>
              </w:rPr>
              <w:t>，专利号：</w:t>
            </w:r>
            <w:r>
              <w:rPr>
                <w:rFonts w:ascii="Times New Roman" w:eastAsia="仿宋" w:hAnsi="Times New Roman" w:cs="Times New Roman"/>
                <w:lang w:eastAsia="zh-CN"/>
              </w:rPr>
              <w:t>ZL 2022 1 0765369.6</w:t>
            </w:r>
            <w:r>
              <w:rPr>
                <w:rFonts w:ascii="Times New Roman" w:eastAsia="仿宋" w:hAnsi="Times New Roman" w:cs="Times New Roman"/>
                <w:lang w:eastAsia="zh-CN"/>
              </w:rPr>
              <w:t>发明人：张海波</w:t>
            </w:r>
            <w:r>
              <w:rPr>
                <w:rFonts w:ascii="Times New Roman" w:eastAsia="仿宋" w:hAnsi="Times New Roman" w:cs="Times New Roman"/>
                <w:lang w:eastAsia="zh-CN"/>
              </w:rPr>
              <w:t>;</w:t>
            </w:r>
            <w:proofErr w:type="gramStart"/>
            <w:r>
              <w:rPr>
                <w:rFonts w:ascii="Times New Roman" w:eastAsia="仿宋" w:hAnsi="Times New Roman" w:cs="Times New Roman"/>
                <w:lang w:eastAsia="zh-CN"/>
              </w:rPr>
              <w:t>陈亚栋</w:t>
            </w:r>
            <w:proofErr w:type="gramEnd"/>
            <w:r>
              <w:rPr>
                <w:rFonts w:ascii="Times New Roman" w:eastAsia="仿宋" w:hAnsi="Times New Roman" w:cs="Times New Roman"/>
                <w:lang w:eastAsia="zh-CN"/>
              </w:rPr>
              <w:t>;</w:t>
            </w:r>
            <w:r>
              <w:rPr>
                <w:rFonts w:ascii="Times New Roman" w:eastAsia="仿宋" w:hAnsi="Times New Roman" w:cs="Times New Roman"/>
                <w:lang w:eastAsia="zh-CN"/>
              </w:rPr>
              <w:t>常雪松</w:t>
            </w:r>
            <w:r>
              <w:rPr>
                <w:rFonts w:ascii="Times New Roman" w:eastAsia="仿宋" w:hAnsi="Times New Roman" w:cs="Times New Roman"/>
                <w:lang w:eastAsia="zh-CN"/>
              </w:rPr>
              <w:t>;</w:t>
            </w:r>
            <w:proofErr w:type="gramStart"/>
            <w:r>
              <w:rPr>
                <w:rFonts w:ascii="Times New Roman" w:eastAsia="仿宋" w:hAnsi="Times New Roman" w:cs="Times New Roman"/>
                <w:lang w:eastAsia="zh-CN"/>
              </w:rPr>
              <w:t>刘译鸿</w:t>
            </w:r>
            <w:proofErr w:type="gramEnd"/>
            <w:r>
              <w:rPr>
                <w:rFonts w:ascii="Times New Roman" w:eastAsia="仿宋" w:hAnsi="Times New Roman" w:cs="Times New Roman"/>
                <w:lang w:eastAsia="zh-CN"/>
              </w:rPr>
              <w:t>;</w:t>
            </w:r>
            <w:r>
              <w:rPr>
                <w:rFonts w:ascii="Times New Roman" w:eastAsia="仿宋" w:hAnsi="Times New Roman" w:cs="Times New Roman"/>
                <w:lang w:eastAsia="zh-CN"/>
              </w:rPr>
              <w:t>朱燕娟</w:t>
            </w:r>
            <w:r>
              <w:rPr>
                <w:rFonts w:ascii="Times New Roman" w:eastAsia="仿宋" w:hAnsi="Times New Roman" w:cs="Times New Roman"/>
                <w:lang w:eastAsia="zh-CN"/>
              </w:rPr>
              <w:t>;</w:t>
            </w:r>
            <w:r>
              <w:rPr>
                <w:rFonts w:ascii="Times New Roman" w:eastAsia="仿宋" w:hAnsi="Times New Roman" w:cs="Times New Roman"/>
                <w:lang w:eastAsia="zh-CN"/>
              </w:rPr>
              <w:t>何怡瀚</w:t>
            </w:r>
            <w:r>
              <w:rPr>
                <w:rFonts w:ascii="Times New Roman" w:eastAsia="仿宋" w:hAnsi="Times New Roman" w:cs="Times New Roman"/>
                <w:lang w:eastAsia="zh-CN"/>
              </w:rPr>
              <w:t>;</w:t>
            </w:r>
            <w:r>
              <w:rPr>
                <w:rFonts w:ascii="Times New Roman" w:eastAsia="仿宋" w:hAnsi="Times New Roman" w:cs="Times New Roman"/>
                <w:lang w:eastAsia="zh-CN"/>
              </w:rPr>
              <w:t>肖真真</w:t>
            </w:r>
            <w:r>
              <w:rPr>
                <w:rFonts w:ascii="Times New Roman" w:eastAsia="仿宋" w:hAnsi="Times New Roman" w:cs="Times New Roman"/>
                <w:lang w:eastAsia="zh-CN"/>
              </w:rPr>
              <w:t>;</w:t>
            </w:r>
            <w:r>
              <w:rPr>
                <w:rFonts w:ascii="Times New Roman" w:eastAsia="仿宋" w:hAnsi="Times New Roman" w:cs="Times New Roman"/>
                <w:lang w:eastAsia="zh-CN"/>
              </w:rPr>
              <w:t>余娅娅</w:t>
            </w:r>
            <w:r>
              <w:rPr>
                <w:rFonts w:ascii="Times New Roman" w:eastAsia="仿宋" w:hAnsi="Times New Roman" w:cs="Times New Roman"/>
                <w:lang w:eastAsia="zh-CN"/>
              </w:rPr>
              <w:t>;</w:t>
            </w:r>
            <w:r>
              <w:rPr>
                <w:rFonts w:ascii="Times New Roman" w:eastAsia="仿宋" w:hAnsi="Times New Roman" w:cs="Times New Roman"/>
                <w:lang w:eastAsia="zh-CN"/>
              </w:rPr>
              <w:t>陈显</w:t>
            </w:r>
            <w:r>
              <w:rPr>
                <w:rFonts w:ascii="Times New Roman" w:eastAsia="仿宋" w:hAnsi="Times New Roman" w:cs="Times New Roman"/>
                <w:lang w:eastAsia="zh-CN"/>
              </w:rPr>
              <w:t>;</w:t>
            </w:r>
            <w:r>
              <w:rPr>
                <w:rFonts w:ascii="Times New Roman" w:eastAsia="仿宋" w:hAnsi="Times New Roman" w:cs="Times New Roman"/>
                <w:lang w:eastAsia="zh-CN"/>
              </w:rPr>
              <w:t>周锐；专利权人：广东省中医院（广州中医药大学第二附属医院、广州中医药大学第二临床医学院、广东省中医药科学院）</w:t>
            </w:r>
          </w:p>
        </w:tc>
      </w:tr>
    </w:tbl>
    <w:p w:rsidR="00DF79D0" w:rsidRDefault="00DF79D0">
      <w:pPr>
        <w:rPr>
          <w:rFonts w:ascii="Times New Roman" w:eastAsia="宋体" w:hAnsi="Times New Roman" w:cs="Times New Roman"/>
          <w:lang w:eastAsia="zh-CN"/>
        </w:rPr>
      </w:pPr>
    </w:p>
    <w:sectPr w:rsidR="00DF79D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F6B" w:rsidRDefault="00C26F6B">
      <w:r>
        <w:separator/>
      </w:r>
    </w:p>
  </w:endnote>
  <w:endnote w:type="continuationSeparator" w:id="0">
    <w:p w:rsidR="00C26F6B" w:rsidRDefault="00C26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9D0" w:rsidRDefault="00BC1338">
    <w:pPr>
      <w:spacing w:before="1" w:line="176" w:lineRule="auto"/>
      <w:ind w:left="211"/>
      <w:rPr>
        <w:rFonts w:ascii="宋体" w:eastAsia="宋体" w:hAnsi="宋体" w:cs="宋体"/>
        <w:sz w:val="28"/>
        <w:szCs w:val="28"/>
      </w:rPr>
    </w:pPr>
    <w:r>
      <w:rPr>
        <w:rFonts w:hint="eastAsia"/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2904490</wp:posOffset>
              </wp:positionH>
              <wp:positionV relativeFrom="paragraph">
                <wp:posOffset>10795</wp:posOffset>
              </wp:positionV>
              <wp:extent cx="210185" cy="806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185" cy="80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F79D0" w:rsidRDefault="00BC1338">
                          <w:pPr>
                            <w:spacing w:before="20" w:line="8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-4"/>
                              <w:position w:val="-1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position w:val="-1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4"/>
                              <w:position w:val="-1"/>
                              <w:sz w:val="18"/>
                              <w:szCs w:val="18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228.7pt;margin-top:.85pt;width:16.55pt;height:6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" filled="f" stroked="f">
              <v:textbox inset="0,0,0,0">
                <w:txbxContent>
                  <w:p w:rsidR="00DF79D0" w:rsidRDefault="00BC1338">
                    <w:pPr>
                      <w:spacing w:before="20" w:line="86" w:lineRule="exact"/>
                      <w:ind w:left="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-4"/>
                        <w:position w:val="-1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position w:val="-1"/>
                        <w:sz w:val="18"/>
                        <w:szCs w:val="18"/>
                      </w:rPr>
                      <w:t xml:space="preserve">    </w:t>
                    </w:r>
                    <w:r>
                      <w:rPr>
                        <w:rFonts w:ascii="Times New Roman" w:eastAsia="Times New Roman" w:hAnsi="Times New Roman" w:cs="Times New Roman"/>
                        <w:spacing w:val="-4"/>
                        <w:position w:val="-1"/>
                        <w:sz w:val="18"/>
                        <w:szCs w:val="1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eastAsia="宋体" w:hAnsi="宋体" w:cs="宋体"/>
        <w:spacing w:val="-8"/>
        <w:sz w:val="28"/>
        <w:szCs w:val="28"/>
      </w:rPr>
      <w:t>-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8"/>
        <w:sz w:val="28"/>
        <w:szCs w:val="28"/>
      </w:rPr>
      <w:t>2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8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F6B" w:rsidRDefault="00C26F6B">
      <w:r>
        <w:separator/>
      </w:r>
    </w:p>
  </w:footnote>
  <w:footnote w:type="continuationSeparator" w:id="0">
    <w:p w:rsidR="00C26F6B" w:rsidRDefault="00C26F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C7BF8"/>
    <w:rsid w:val="004A4D84"/>
    <w:rsid w:val="00583E3C"/>
    <w:rsid w:val="00997DBE"/>
    <w:rsid w:val="00A014AD"/>
    <w:rsid w:val="00BC1338"/>
    <w:rsid w:val="00BD4622"/>
    <w:rsid w:val="00C26F6B"/>
    <w:rsid w:val="00DF79D0"/>
    <w:rsid w:val="01CC665B"/>
    <w:rsid w:val="02D944B5"/>
    <w:rsid w:val="09926C3F"/>
    <w:rsid w:val="14FE4A14"/>
    <w:rsid w:val="185D75F5"/>
    <w:rsid w:val="19425914"/>
    <w:rsid w:val="2B28065B"/>
    <w:rsid w:val="31C64CB7"/>
    <w:rsid w:val="346C0D4E"/>
    <w:rsid w:val="378B575B"/>
    <w:rsid w:val="3B9F6522"/>
    <w:rsid w:val="41C44DF2"/>
    <w:rsid w:val="4A5C7BF8"/>
    <w:rsid w:val="513535D0"/>
    <w:rsid w:val="58935B0E"/>
    <w:rsid w:val="736F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5C2085"/>
  <w15:docId w15:val="{5F548D60-E91B-4745-A503-15E090F2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</w:style>
  <w:style w:type="character" w:styleId="a4">
    <w:name w:val="annotation reference"/>
    <w:basedOn w:val="a0"/>
    <w:qFormat/>
    <w:rPr>
      <w:sz w:val="21"/>
      <w:szCs w:val="2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1521</Characters>
  <Application>Microsoft Office Word</Application>
  <DocSecurity>0</DocSecurity>
  <Lines>12</Lines>
  <Paragraphs>3</Paragraphs>
  <ScaleCrop>false</ScaleCrop>
  <Company>Microsoft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SX</dc:creator>
  <cp:lastModifiedBy>陈亚栋</cp:lastModifiedBy>
  <cp:revision>2</cp:revision>
  <dcterms:created xsi:type="dcterms:W3CDTF">2024-12-27T09:21:00Z</dcterms:created>
  <dcterms:modified xsi:type="dcterms:W3CDTF">2024-12-27T09:21:00Z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2005B793997B4E4E8EED256BB0ED2BDA_13</vt:lpwstr>
  </property>
</Properties>
</file>