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BC387">
      <w:pPr>
        <w:pStyle w:val="2"/>
        <w:spacing w:line="360" w:lineRule="auto"/>
        <w:ind w:firstLine="1600" w:firstLineChars="400"/>
        <w:rPr>
          <w:rFonts w:hint="default" w:ascii="Times New Roman" w:eastAsia="宋体"/>
          <w:b w:val="0"/>
          <w:sz w:val="40"/>
          <w:lang w:val="en-US" w:eastAsia="zh-CN"/>
        </w:rPr>
      </w:pPr>
      <w:bookmarkStart w:id="0" w:name="2024年度广东省科学技术奖公示表"/>
      <w:bookmarkEnd w:id="0"/>
      <w:r>
        <w:rPr>
          <w:rFonts w:hint="eastAsia" w:ascii="Times New Roman"/>
          <w:b w:val="0"/>
          <w:sz w:val="40"/>
          <w:lang w:val="en-US" w:eastAsia="zh-CN"/>
        </w:rPr>
        <w:t>2024年度广东省科学技术奖公示表</w:t>
      </w:r>
    </w:p>
    <w:p w14:paraId="2AB3DB7D">
      <w:pPr>
        <w:pStyle w:val="2"/>
        <w:spacing w:before="30" w:line="360" w:lineRule="auto"/>
        <w:ind w:left="321"/>
      </w:pPr>
      <w:bookmarkStart w:id="1" w:name="2024年度广东省科学技术奖公示表"/>
      <w:bookmarkEnd w:id="1"/>
      <w:bookmarkStart w:id="2" w:name="（自然科学奖、技术发明奖、科技进步奖、科技成果推广奖格式）"/>
      <w:bookmarkEnd w:id="2"/>
      <w:r>
        <w:t>（</w:t>
      </w:r>
      <w:r>
        <w:rPr>
          <w:spacing w:val="-51"/>
        </w:rPr>
        <w:t>自然科学奖、技术发明奖、科技进步奖、科技成果推广奖格式</w:t>
      </w:r>
      <w:r>
        <w:t>）</w:t>
      </w:r>
    </w:p>
    <w:p w14:paraId="23A0E8F8">
      <w:pPr>
        <w:pStyle w:val="2"/>
        <w:spacing w:before="1"/>
        <w:rPr>
          <w:sz w:val="19"/>
        </w:rPr>
      </w:pPr>
    </w:p>
    <w:tbl>
      <w:tblPr>
        <w:tblStyle w:val="4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6959"/>
      </w:tblGrid>
      <w:tr w14:paraId="2AA06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2505" w:type="dxa"/>
          </w:tcPr>
          <w:p w14:paraId="1C803482">
            <w:pPr>
              <w:pStyle w:val="8"/>
              <w:spacing w:before="4" w:line="270" w:lineRule="atLeast"/>
              <w:ind w:left="701" w:right="55" w:hanging="593"/>
              <w:rPr>
                <w:b/>
                <w:sz w:val="24"/>
                <w:szCs w:val="24"/>
              </w:rPr>
            </w:pPr>
            <w:r>
              <w:rPr>
                <w:b/>
                <w:bCs w:val="0"/>
                <w:w w:val="95"/>
                <w:sz w:val="24"/>
                <w:szCs w:val="24"/>
              </w:rPr>
              <w:t>学科、专业评审</w:t>
            </w:r>
            <w:r>
              <w:rPr>
                <w:b/>
                <w:bCs w:val="0"/>
                <w:sz w:val="24"/>
                <w:szCs w:val="24"/>
              </w:rPr>
              <w:t>组</w:t>
            </w:r>
          </w:p>
        </w:tc>
        <w:tc>
          <w:tcPr>
            <w:tcW w:w="6959" w:type="dxa"/>
          </w:tcPr>
          <w:p w14:paraId="48E02670">
            <w:pPr>
              <w:pStyle w:val="8"/>
              <w:rPr>
                <w:rFonts w:hint="default" w:asci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临床内科组</w:t>
            </w:r>
          </w:p>
        </w:tc>
      </w:tr>
      <w:tr w14:paraId="20BB5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2505" w:type="dxa"/>
          </w:tcPr>
          <w:p w14:paraId="3F5C6360">
            <w:pPr>
              <w:pStyle w:val="8"/>
              <w:spacing w:before="140"/>
              <w:ind w:left="363" w:right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项目名称</w:t>
            </w:r>
          </w:p>
        </w:tc>
        <w:tc>
          <w:tcPr>
            <w:tcW w:w="6959" w:type="dxa"/>
          </w:tcPr>
          <w:p w14:paraId="0AE0661F">
            <w:pPr>
              <w:pStyle w:val="8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静脉注射碘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对比</w:t>
            </w:r>
            <w:r>
              <w:rPr>
                <w:rFonts w:hint="eastAsia" w:ascii="Times New Roman"/>
                <w:sz w:val="24"/>
                <w:szCs w:val="24"/>
              </w:rPr>
              <w:t>剂相关急性肾损伤早期诊断及防治关键技术的创建及应用</w:t>
            </w:r>
          </w:p>
        </w:tc>
      </w:tr>
      <w:tr w14:paraId="4221B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2505" w:type="dxa"/>
          </w:tcPr>
          <w:p w14:paraId="7E73EA30">
            <w:pPr>
              <w:pStyle w:val="8"/>
              <w:spacing w:before="141"/>
              <w:ind w:left="363" w:right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提名者</w:t>
            </w:r>
          </w:p>
        </w:tc>
        <w:tc>
          <w:tcPr>
            <w:tcW w:w="6959" w:type="dxa"/>
          </w:tcPr>
          <w:p w14:paraId="7A1234D6">
            <w:pPr>
              <w:pStyle w:val="8"/>
              <w:jc w:val="left"/>
              <w:rPr>
                <w:rFonts w:hint="default" w:asci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  <w:vertAlign w:val="baseline"/>
                <w:lang w:val="en-US" w:eastAsia="zh-CN"/>
              </w:rPr>
              <w:t>广东省中医药局</w:t>
            </w:r>
          </w:p>
        </w:tc>
      </w:tr>
      <w:tr w14:paraId="755A9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505" w:type="dxa"/>
          </w:tcPr>
          <w:p w14:paraId="2E612FE7">
            <w:pPr>
              <w:pStyle w:val="8"/>
              <w:spacing w:before="141"/>
              <w:ind w:right="357"/>
              <w:jc w:val="center"/>
              <w:rPr>
                <w:rFonts w:hint="default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拟提名奖项及等级</w:t>
            </w:r>
          </w:p>
        </w:tc>
        <w:tc>
          <w:tcPr>
            <w:tcW w:w="6959" w:type="dxa"/>
          </w:tcPr>
          <w:p w14:paraId="67554664">
            <w:pPr>
              <w:pStyle w:val="8"/>
              <w:rPr>
                <w:rFonts w:hint="default" w:asci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拟提名2024年度广东省（科技进步奖）二等奖</w:t>
            </w:r>
          </w:p>
        </w:tc>
      </w:tr>
      <w:tr w14:paraId="1FD82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505" w:type="dxa"/>
            <w:vMerge w:val="restart"/>
          </w:tcPr>
          <w:p w14:paraId="78F1FF77">
            <w:pPr>
              <w:pStyle w:val="8"/>
              <w:spacing w:before="9"/>
              <w:rPr>
                <w:rFonts w:ascii="宋体"/>
                <w:b/>
                <w:sz w:val="24"/>
                <w:szCs w:val="24"/>
              </w:rPr>
            </w:pPr>
          </w:p>
          <w:p w14:paraId="156EBF87">
            <w:pPr>
              <w:pStyle w:val="8"/>
              <w:ind w:firstLine="482" w:firstLineChars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主要完成单位</w:t>
            </w:r>
          </w:p>
        </w:tc>
        <w:tc>
          <w:tcPr>
            <w:tcW w:w="6959" w:type="dxa"/>
          </w:tcPr>
          <w:p w14:paraId="770ABE24">
            <w:pPr>
              <w:pStyle w:val="8"/>
              <w:spacing w:before="1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 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广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州中医药大学第二附属医院</w:t>
            </w:r>
          </w:p>
        </w:tc>
      </w:tr>
      <w:tr w14:paraId="5C672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2505" w:type="dxa"/>
            <w:vMerge w:val="continue"/>
            <w:tcBorders>
              <w:top w:val="nil"/>
            </w:tcBorders>
          </w:tcPr>
          <w:p w14:paraId="072B875B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2A124AA5">
            <w:pPr>
              <w:pStyle w:val="8"/>
              <w:spacing w:line="269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 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广东省人民医院</w:t>
            </w:r>
          </w:p>
        </w:tc>
      </w:tr>
      <w:tr w14:paraId="1ACF6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2505" w:type="dxa"/>
            <w:vMerge w:val="continue"/>
            <w:tcBorders>
              <w:top w:val="nil"/>
            </w:tcBorders>
          </w:tcPr>
          <w:p w14:paraId="266B5404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76309015">
            <w:pPr>
              <w:pStyle w:val="8"/>
              <w:spacing w:before="25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单位  3   暨南大学附属第一医院</w:t>
            </w:r>
          </w:p>
        </w:tc>
      </w:tr>
      <w:tr w14:paraId="58D72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05" w:type="dxa"/>
            <w:vMerge w:val="restart"/>
          </w:tcPr>
          <w:p w14:paraId="63E9F827">
            <w:pPr>
              <w:pStyle w:val="8"/>
              <w:rPr>
                <w:rFonts w:ascii="宋体"/>
                <w:b/>
                <w:sz w:val="24"/>
                <w:szCs w:val="24"/>
              </w:rPr>
            </w:pPr>
          </w:p>
          <w:p w14:paraId="2B7B1FE0">
            <w:pPr>
              <w:pStyle w:val="8"/>
              <w:spacing w:before="145"/>
              <w:ind w:left="278"/>
              <w:rPr>
                <w:b/>
                <w:sz w:val="24"/>
                <w:szCs w:val="24"/>
              </w:rPr>
            </w:pPr>
          </w:p>
          <w:p w14:paraId="21F9C57C">
            <w:pPr>
              <w:pStyle w:val="8"/>
              <w:spacing w:before="145"/>
              <w:ind w:left="278"/>
              <w:rPr>
                <w:b/>
                <w:sz w:val="24"/>
                <w:szCs w:val="24"/>
              </w:rPr>
            </w:pPr>
          </w:p>
          <w:p w14:paraId="43407159">
            <w:pPr>
              <w:pStyle w:val="8"/>
              <w:spacing w:before="145"/>
              <w:ind w:left="278"/>
              <w:rPr>
                <w:b/>
                <w:sz w:val="24"/>
                <w:szCs w:val="24"/>
              </w:rPr>
            </w:pPr>
          </w:p>
          <w:p w14:paraId="0A1A5D6B">
            <w:pPr>
              <w:pStyle w:val="8"/>
              <w:spacing w:before="145"/>
              <w:ind w:left="278" w:firstLine="241" w:firstLineChars="100"/>
              <w:rPr>
                <w:b/>
                <w:sz w:val="24"/>
                <w:szCs w:val="24"/>
              </w:rPr>
            </w:pPr>
          </w:p>
          <w:p w14:paraId="70B02EFB">
            <w:pPr>
              <w:pStyle w:val="8"/>
              <w:spacing w:before="145"/>
              <w:ind w:left="278" w:firstLine="241" w:firstLineChars="100"/>
              <w:rPr>
                <w:b/>
                <w:sz w:val="24"/>
                <w:szCs w:val="24"/>
              </w:rPr>
            </w:pPr>
          </w:p>
          <w:p w14:paraId="1DFE1C74">
            <w:pPr>
              <w:pStyle w:val="8"/>
              <w:spacing w:before="145"/>
              <w:ind w:firstLine="482" w:firstLineChars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主要完成人</w:t>
            </w:r>
          </w:p>
          <w:p w14:paraId="44E17352">
            <w:pPr>
              <w:pStyle w:val="8"/>
              <w:spacing w:before="2" w:line="242" w:lineRule="auto"/>
              <w:ind w:left="108" w:right="23" w:hanging="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（职称、完成单</w:t>
            </w:r>
            <w:r>
              <w:rPr>
                <w:b/>
                <w:w w:val="95"/>
                <w:sz w:val="24"/>
                <w:szCs w:val="24"/>
              </w:rPr>
              <w:t>位、工作单位）</w:t>
            </w:r>
          </w:p>
        </w:tc>
        <w:tc>
          <w:tcPr>
            <w:tcW w:w="6959" w:type="dxa"/>
          </w:tcPr>
          <w:p w14:paraId="36D3BA91">
            <w:pPr>
              <w:pStyle w:val="8"/>
              <w:spacing w:before="63"/>
              <w:rPr>
                <w:sz w:val="24"/>
                <w:szCs w:val="24"/>
              </w:rPr>
            </w:pPr>
            <w:r>
              <w:rPr>
                <w:rFonts w:ascii="Times New Roman" w:eastAsia="Times New Roman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刘玉品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主任医师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广州中医药大学第二附属医院</w:t>
            </w:r>
            <w:r>
              <w:rPr>
                <w:sz w:val="24"/>
                <w:szCs w:val="24"/>
              </w:rPr>
              <w:t>、主要贡献</w:t>
            </w:r>
            <w:r>
              <w:rPr>
                <w:rFonts w:hint="eastAsia"/>
                <w:sz w:val="24"/>
                <w:szCs w:val="24"/>
                <w:lang w:eastAsia="zh-CN"/>
              </w:rPr>
              <w:t>：课题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/>
                <w:sz w:val="24"/>
                <w:szCs w:val="24"/>
                <w:lang w:eastAsia="zh-CN"/>
              </w:rPr>
              <w:t>主要负责人、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课题3的第一参与人，代表性论文1-2的第一作者</w:t>
            </w:r>
            <w:r>
              <w:rPr>
                <w:sz w:val="24"/>
                <w:szCs w:val="24"/>
              </w:rPr>
              <w:t>）</w:t>
            </w:r>
          </w:p>
        </w:tc>
      </w:tr>
      <w:tr w14:paraId="36985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505" w:type="dxa"/>
            <w:vMerge w:val="continue"/>
          </w:tcPr>
          <w:p w14:paraId="3399FAF2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682F9258">
            <w:pPr>
              <w:pStyle w:val="8"/>
              <w:spacing w:before="62"/>
              <w:rPr>
                <w:sz w:val="24"/>
                <w:szCs w:val="24"/>
              </w:rPr>
            </w:pPr>
            <w:r>
              <w:rPr>
                <w:rFonts w:ascii="Times New Roman" w:eastAsia="Times New Roman"/>
                <w:sz w:val="24"/>
                <w:szCs w:val="24"/>
              </w:rPr>
              <w:t>2.</w:t>
            </w:r>
            <w:r>
              <w:rPr>
                <w:rFonts w:hint="eastAsia" w:cs="仿宋"/>
                <w:sz w:val="24"/>
                <w:szCs w:val="24"/>
                <w:lang w:val="en-US" w:eastAsia="zh-CN"/>
              </w:rPr>
              <w:t>王广谊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主任医师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广东省人民医院</w:t>
            </w:r>
            <w:r>
              <w:rPr>
                <w:sz w:val="24"/>
                <w:szCs w:val="24"/>
              </w:rPr>
              <w:t>、主要贡献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代表性论文3的合著者，代表性论文4的</w:t>
            </w:r>
            <w:r>
              <w:rPr>
                <w:rFonts w:hint="eastAsia"/>
                <w:sz w:val="24"/>
                <w:szCs w:val="24"/>
                <w:lang w:eastAsia="zh-CN"/>
              </w:rPr>
              <w:t>通讯作者</w:t>
            </w:r>
            <w:r>
              <w:rPr>
                <w:sz w:val="24"/>
                <w:szCs w:val="24"/>
              </w:rPr>
              <w:t>）</w:t>
            </w:r>
          </w:p>
        </w:tc>
      </w:tr>
      <w:tr w14:paraId="3140B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05" w:type="dxa"/>
            <w:vMerge w:val="continue"/>
          </w:tcPr>
          <w:p w14:paraId="65E55295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117F9AFD">
            <w:pPr>
              <w:pStyle w:val="8"/>
              <w:spacing w:before="63"/>
              <w:rPr>
                <w:sz w:val="24"/>
                <w:szCs w:val="24"/>
              </w:rPr>
            </w:pPr>
            <w:r>
              <w:rPr>
                <w:rFonts w:ascii="Times New Roman" w:eastAsia="Times New Roman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方进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副主任医师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暨南大学附属第一医院</w:t>
            </w:r>
            <w:r>
              <w:rPr>
                <w:sz w:val="24"/>
                <w:szCs w:val="24"/>
              </w:rPr>
              <w:t>、主要贡献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专利1-3的共同发明人</w:t>
            </w:r>
            <w:r>
              <w:rPr>
                <w:sz w:val="24"/>
                <w:szCs w:val="24"/>
              </w:rPr>
              <w:t>）</w:t>
            </w:r>
          </w:p>
        </w:tc>
      </w:tr>
      <w:tr w14:paraId="4C8E6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2505" w:type="dxa"/>
            <w:vMerge w:val="continue"/>
          </w:tcPr>
          <w:p w14:paraId="108AF619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2FA5EE05">
            <w:pPr>
              <w:pStyle w:val="8"/>
              <w:spacing w:before="7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4.周懂晶（副主任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医师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广州中医药大学第二附属医院</w:t>
            </w:r>
            <w:r>
              <w:rPr>
                <w:sz w:val="24"/>
                <w:szCs w:val="24"/>
              </w:rPr>
              <w:t>、主要贡献</w:t>
            </w:r>
            <w:r>
              <w:rPr>
                <w:rFonts w:hint="eastAsia"/>
                <w:sz w:val="24"/>
                <w:szCs w:val="24"/>
                <w:lang w:eastAsia="zh-CN"/>
              </w:rPr>
              <w:t>：课题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1的第1参与人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）</w:t>
            </w:r>
          </w:p>
        </w:tc>
      </w:tr>
      <w:tr w14:paraId="47958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2505" w:type="dxa"/>
            <w:vMerge w:val="continue"/>
          </w:tcPr>
          <w:p w14:paraId="1D7C0004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6EEE719D">
            <w:pPr>
              <w:pStyle w:val="8"/>
              <w:spacing w:before="7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5.叶维韬（主治医师、广东省人民医院、广东省人民医院、主要贡献：代表性论文5的共同第一作者）</w:t>
            </w:r>
          </w:p>
        </w:tc>
      </w:tr>
      <w:tr w14:paraId="2A639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2505" w:type="dxa"/>
            <w:vMerge w:val="continue"/>
          </w:tcPr>
          <w:p w14:paraId="4CE38908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38C89A07">
            <w:pPr>
              <w:pStyle w:val="8"/>
              <w:spacing w:before="78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6.张璐（主治医师、暨南大学附属第一医院、暨南大学附属第一医院、主要贡献：专利2-3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的共同发明人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）</w:t>
            </w:r>
          </w:p>
        </w:tc>
      </w:tr>
      <w:tr w14:paraId="16AEF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2505" w:type="dxa"/>
            <w:vMerge w:val="continue"/>
          </w:tcPr>
          <w:p w14:paraId="00E85FE3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18DC836B">
            <w:pPr>
              <w:pStyle w:val="8"/>
              <w:spacing w:before="7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7.李景雷（主任医师、广东省人民医院、主要贡献：代表性论文5的第一作者）</w:t>
            </w:r>
          </w:p>
        </w:tc>
      </w:tr>
      <w:tr w14:paraId="4D407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2505" w:type="dxa"/>
            <w:vMerge w:val="continue"/>
          </w:tcPr>
          <w:p w14:paraId="637CE44B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3A4C9FA0">
            <w:pPr>
              <w:pStyle w:val="8"/>
              <w:spacing w:before="7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8.陈志远（副主任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医师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广州中医药大学第二附属医院</w:t>
            </w:r>
            <w:r>
              <w:rPr>
                <w:sz w:val="24"/>
                <w:szCs w:val="24"/>
              </w:rPr>
              <w:t>、主要贡献</w:t>
            </w:r>
            <w:r>
              <w:rPr>
                <w:rFonts w:hint="eastAsia"/>
                <w:sz w:val="24"/>
                <w:szCs w:val="24"/>
                <w:lang w:eastAsia="zh-CN"/>
              </w:rPr>
              <w:t>：课题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1的第7参与人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）</w:t>
            </w:r>
          </w:p>
        </w:tc>
      </w:tr>
      <w:tr w14:paraId="49017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05" w:type="dxa"/>
            <w:vMerge w:val="restart"/>
          </w:tcPr>
          <w:p w14:paraId="1DF6FBD4">
            <w:pPr>
              <w:pStyle w:val="8"/>
              <w:rPr>
                <w:rFonts w:ascii="宋体"/>
                <w:b/>
                <w:sz w:val="24"/>
                <w:szCs w:val="24"/>
              </w:rPr>
            </w:pPr>
          </w:p>
          <w:p w14:paraId="5B8AAF0D">
            <w:pPr>
              <w:pStyle w:val="8"/>
              <w:spacing w:before="12"/>
              <w:rPr>
                <w:rFonts w:ascii="宋体"/>
                <w:b/>
                <w:sz w:val="24"/>
                <w:szCs w:val="24"/>
              </w:rPr>
            </w:pPr>
          </w:p>
          <w:p w14:paraId="04E958E4">
            <w:pPr>
              <w:pStyle w:val="8"/>
              <w:spacing w:line="242" w:lineRule="auto"/>
              <w:ind w:left="384" w:right="272" w:hanging="106"/>
              <w:rPr>
                <w:b/>
                <w:w w:val="95"/>
                <w:sz w:val="24"/>
                <w:szCs w:val="24"/>
              </w:rPr>
            </w:pPr>
          </w:p>
          <w:p w14:paraId="07CDCB8C">
            <w:pPr>
              <w:pStyle w:val="8"/>
              <w:spacing w:line="242" w:lineRule="auto"/>
              <w:ind w:left="384" w:right="272" w:hanging="106"/>
              <w:rPr>
                <w:b/>
                <w:w w:val="95"/>
                <w:sz w:val="24"/>
                <w:szCs w:val="24"/>
              </w:rPr>
            </w:pPr>
          </w:p>
          <w:p w14:paraId="3D58F10F">
            <w:pPr>
              <w:pStyle w:val="8"/>
              <w:spacing w:line="242" w:lineRule="auto"/>
              <w:ind w:left="384" w:right="272" w:hanging="106"/>
              <w:rPr>
                <w:b/>
                <w:w w:val="95"/>
                <w:sz w:val="24"/>
                <w:szCs w:val="24"/>
              </w:rPr>
            </w:pPr>
          </w:p>
          <w:p w14:paraId="3FB15527">
            <w:pPr>
              <w:pStyle w:val="8"/>
              <w:spacing w:line="242" w:lineRule="auto"/>
              <w:ind w:right="272" w:firstLine="687" w:firstLineChars="300"/>
              <w:rPr>
                <w:b/>
                <w:w w:val="95"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代表性论文</w:t>
            </w:r>
          </w:p>
          <w:p w14:paraId="376D2321">
            <w:pPr>
              <w:pStyle w:val="8"/>
              <w:spacing w:line="242" w:lineRule="auto"/>
              <w:ind w:right="272" w:firstLine="723" w:firstLineChars="3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专著目录</w:t>
            </w:r>
          </w:p>
        </w:tc>
        <w:tc>
          <w:tcPr>
            <w:tcW w:w="6959" w:type="dxa"/>
          </w:tcPr>
          <w:p w14:paraId="36F01385">
            <w:pPr>
              <w:pStyle w:val="8"/>
              <w:spacing w:before="62"/>
              <w:ind w:left="108"/>
              <w:rPr>
                <w:rFonts w:ascii="Times New Roman"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论文 </w:t>
            </w:r>
            <w:r>
              <w:rPr>
                <w:rFonts w:ascii="Times New Roman" w:eastAsia="Times New Roman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：</w:t>
            </w:r>
            <w:r>
              <w:rPr>
                <w:rFonts w:ascii="Times New Roman" w:eastAsia="Times New Roman"/>
                <w:sz w:val="24"/>
                <w:szCs w:val="24"/>
              </w:rPr>
              <w:t>&lt;</w:t>
            </w:r>
            <w:r>
              <w:rPr>
                <w:rFonts w:hint="eastAsia"/>
                <w:sz w:val="24"/>
                <w:szCs w:val="24"/>
              </w:rPr>
              <w:t>Arterial spin labeling blood flow magnetic resonance imaging for evaluation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of renal injury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Am J Physiol Renal Physiol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2012,303(4):F551-558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2012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第一作者：刘玉品，通讯作者：刘玉品</w:t>
            </w:r>
            <w:r>
              <w:rPr>
                <w:rFonts w:ascii="Times New Roman" w:eastAsia="Times New Roman"/>
                <w:sz w:val="24"/>
                <w:szCs w:val="24"/>
              </w:rPr>
              <w:t>&gt;</w:t>
            </w:r>
          </w:p>
        </w:tc>
      </w:tr>
      <w:tr w14:paraId="3281A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05" w:type="dxa"/>
            <w:vMerge w:val="continue"/>
            <w:tcBorders>
              <w:top w:val="nil"/>
            </w:tcBorders>
          </w:tcPr>
          <w:p w14:paraId="61AADE17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5545114C">
            <w:pPr>
              <w:pStyle w:val="8"/>
              <w:spacing w:before="63"/>
              <w:ind w:left="108"/>
              <w:rPr>
                <w:rFonts w:hint="eastAsia" w:ascii="Times New Roman" w:eastAsia="仿宋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 xml:space="preserve">论文 </w:t>
            </w:r>
            <w:r>
              <w:rPr>
                <w:rFonts w:ascii="Times New Roman" w:eastAsia="Times New Roman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cs="仿宋"/>
                <w:sz w:val="24"/>
                <w:szCs w:val="24"/>
                <w:lang w:val="en-US" w:eastAsia="zh-CN"/>
              </w:rPr>
              <w:t>&lt;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3.0T血氧水平依赖功能MRI技术对注入碘对比剂后肾脏损害评价的实验研究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中华放射学杂志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2010.44(8):872-876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2010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第一作者：刘玉品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通讯作者：梁长虹</w:t>
            </w:r>
            <w:r>
              <w:rPr>
                <w:rFonts w:hint="eastAsia" w:cs="仿宋"/>
                <w:sz w:val="24"/>
                <w:szCs w:val="24"/>
                <w:lang w:val="en-US" w:eastAsia="zh-CN"/>
              </w:rPr>
              <w:t>&gt;</w:t>
            </w:r>
          </w:p>
        </w:tc>
      </w:tr>
      <w:tr w14:paraId="3FE1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505" w:type="dxa"/>
            <w:vMerge w:val="continue"/>
            <w:tcBorders>
              <w:top w:val="nil"/>
            </w:tcBorders>
          </w:tcPr>
          <w:p w14:paraId="1A8E87B3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2EB985FB">
            <w:pPr>
              <w:pStyle w:val="8"/>
              <w:spacing w:before="62"/>
              <w:ind w:left="108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论文 3：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&lt;In Vitro Labeling of Mesenchymal Stem Cells with Superparamagnetic Iron Oxide by Means of Microbubble</w:t>
            </w:r>
            <w:r>
              <w:rPr>
                <w:rFonts w:hint="eastAsia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enhanced US Exposure、Radiology、2009,11(1):153-159、2009、第一作者：刘再毅，通讯作者：梁长虹&gt;</w:t>
            </w:r>
          </w:p>
        </w:tc>
      </w:tr>
      <w:tr w14:paraId="4C957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505" w:type="dxa"/>
            <w:vMerge w:val="continue"/>
            <w:tcBorders>
              <w:top w:val="nil"/>
            </w:tcBorders>
          </w:tcPr>
          <w:p w14:paraId="6D8499E9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292353D0">
            <w:pPr>
              <w:pStyle w:val="8"/>
              <w:spacing w:before="62"/>
              <w:ind w:left="108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论文 4：&lt;Using the non-distortion IVIM to reduce the need for contrast agents in nasopharyngeal MRI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Magn Reson Imaging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2023,104(1):115-120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 w:cs="仿宋"/>
                <w:sz w:val="24"/>
                <w:szCs w:val="24"/>
                <w:lang w:val="en-US" w:eastAsia="zh-CN"/>
              </w:rPr>
              <w:t>2015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第一作者：陈锐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 w:cs="仿宋"/>
                <w:sz w:val="24"/>
                <w:szCs w:val="24"/>
                <w:lang w:val="en-US" w:eastAsia="zh-CN"/>
              </w:rPr>
              <w:t>通讯作者：王广谊&gt;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33185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505" w:type="dxa"/>
            <w:vMerge w:val="continue"/>
            <w:tcBorders>
              <w:top w:val="nil"/>
            </w:tcBorders>
          </w:tcPr>
          <w:p w14:paraId="3C9CDDE7">
            <w:pPr>
              <w:rPr>
                <w:sz w:val="24"/>
                <w:szCs w:val="24"/>
              </w:rPr>
            </w:pPr>
          </w:p>
        </w:tc>
        <w:tc>
          <w:tcPr>
            <w:tcW w:w="6959" w:type="dxa"/>
          </w:tcPr>
          <w:p w14:paraId="3DF3523B">
            <w:pPr>
              <w:pStyle w:val="8"/>
              <w:spacing w:before="62"/>
              <w:ind w:left="108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论文 5：Influence of tube voltage, tube current and newer iterative reconstruction algorithms in CT perfusion imaging in rabbit liver VX2 tumors、Diagn Interv Radiol、2018、第一作者：李景雷/叶维韬、通讯作者：梁长虹&gt;</w:t>
            </w:r>
          </w:p>
        </w:tc>
      </w:tr>
      <w:tr w14:paraId="7D444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2505" w:type="dxa"/>
            <w:vMerge w:val="restart"/>
            <w:tcBorders>
              <w:top w:val="nil"/>
            </w:tcBorders>
          </w:tcPr>
          <w:p w14:paraId="1A832689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</w:p>
          <w:p w14:paraId="4BC079AC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7F9FBD4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546E58B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6AED9E9">
            <w:pPr>
              <w:ind w:firstLine="964" w:firstLineChars="400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专利</w:t>
            </w:r>
          </w:p>
        </w:tc>
        <w:tc>
          <w:tcPr>
            <w:tcW w:w="6959" w:type="dxa"/>
          </w:tcPr>
          <w:p w14:paraId="613172E1">
            <w:pPr>
              <w:pStyle w:val="8"/>
              <w:spacing w:before="77"/>
              <w:ind w:left="108"/>
              <w:rPr>
                <w:rFonts w:hint="default" w:ascii="Times New Roman" w:hAnsi="Times New Roman" w:eastAsia="仿宋"/>
                <w:w w:val="99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w w:val="99"/>
                <w:sz w:val="24"/>
                <w:szCs w:val="24"/>
                <w:lang w:val="en-US" w:eastAsia="zh-CN"/>
              </w:rPr>
              <w:t>1.实用新型专利：一种碘对比剂诱导肾功能损伤检测系统（专利号ZL 201822105867.X），申请日期：2018.12.14，授权日期：2020.1.3。</w:t>
            </w:r>
          </w:p>
        </w:tc>
      </w:tr>
      <w:tr w14:paraId="29FFC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505" w:type="dxa"/>
            <w:vMerge w:val="continue"/>
          </w:tcPr>
          <w:p w14:paraId="05D5ADAA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959" w:type="dxa"/>
          </w:tcPr>
          <w:p w14:paraId="032EAC1A">
            <w:pPr>
              <w:pStyle w:val="8"/>
              <w:spacing w:before="77"/>
              <w:ind w:left="108"/>
              <w:rPr>
                <w:rFonts w:hint="default" w:ascii="Times New Roman" w:hAnsi="Times New Roman" w:eastAsia="仿宋"/>
                <w:w w:val="99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w w:val="99"/>
                <w:sz w:val="24"/>
                <w:szCs w:val="24"/>
                <w:lang w:val="en-US" w:eastAsia="zh-CN"/>
              </w:rPr>
              <w:t>2.实用新型专利：一种碘对比剂静脉注射安全使用指导分析系统（专利号ZL 2020 2 1454407. 9），申请日期：2020.07.22，授权日期：2021.2.12。</w:t>
            </w:r>
          </w:p>
        </w:tc>
      </w:tr>
      <w:tr w14:paraId="4F034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505" w:type="dxa"/>
            <w:vMerge w:val="continue"/>
          </w:tcPr>
          <w:p w14:paraId="6041A171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959" w:type="dxa"/>
          </w:tcPr>
          <w:p w14:paraId="6EE2DC6A">
            <w:pPr>
              <w:pStyle w:val="8"/>
              <w:spacing w:before="77"/>
              <w:ind w:left="108"/>
              <w:rPr>
                <w:rFonts w:hint="default" w:ascii="Times New Roman" w:hAnsi="Times New Roman" w:eastAsia="仿宋"/>
                <w:w w:val="99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w w:val="99"/>
                <w:sz w:val="24"/>
                <w:szCs w:val="24"/>
                <w:lang w:val="en-US" w:eastAsia="zh-CN"/>
              </w:rPr>
              <w:t>3.实用新型专利：一种碘对比剂外渗药物处置系统（专利号ZL 202022256070.7），申请日期：2020.10.12，授权日期：2021.6. 22。</w:t>
            </w:r>
          </w:p>
        </w:tc>
      </w:tr>
    </w:tbl>
    <w:p w14:paraId="5251C3B2">
      <w:pPr>
        <w:rPr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10" w:h="16840"/>
      <w:pgMar w:top="2420" w:right="820" w:bottom="1180" w:left="1380" w:header="2025" w:footer="991" w:gutter="0"/>
      <w:pgNumType w:start="4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8DA9A4">
    <w:pPr>
      <w:pStyle w:val="2"/>
      <w:spacing w:line="14" w:lineRule="auto"/>
      <w:rPr>
        <w:b w:val="0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3851910</wp:posOffset>
              </wp:positionH>
              <wp:positionV relativeFrom="page">
                <wp:posOffset>9922510</wp:posOffset>
              </wp:positionV>
              <wp:extent cx="214630" cy="1524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D719F0"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-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303.3pt;margin-top:781.3pt;height:12pt;width:16.9pt;mso-position-horizontal-relative:page;mso-position-vertical-relative:page;z-index:-251657216;mso-width-relative:page;mso-height-relative:page;" filled="f" stroked="f" coordsize="21600,21600" o:gfxdata="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VMXCnZAAAADQEAAA8AAAAAAAAAAQAgAAAAIgAAAGRycy9kb3ducmV2LnhtbFBL&#10;AQIUABQAAAAIAIdO4kDAetwFvAEAAHQDAAAOAAAAAAAAAAEAIAAAACg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D719F0"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- -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6383020</wp:posOffset>
              </wp:positionH>
              <wp:positionV relativeFrom="page">
                <wp:posOffset>9942830</wp:posOffset>
              </wp:positionV>
              <wp:extent cx="469900" cy="203835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90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0E12E"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502.6pt;margin-top:782.9pt;height:16.05pt;width:37pt;mso-position-horizontal-relative:page;mso-position-vertical-relative:page;z-index:-251657216;mso-width-relative:page;mso-height-relative:page;" filled="f" stroked="f" coordsize="21600,21600" o:gfxdata="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gBIF32QAAAA8BAAAPAAAAAAAAAAEAIAAAACIAAABkcnMvZG93bnJldi54bWxQ&#10;SwECFAAUAAAACACHTuJAIhLhzL0BAAB0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180E12E"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rPr>
                        <w:rFonts w:hint="eastAsia"/>
                        <w:lang w:val="en-US" w:eastAsia="zh-CN"/>
                      </w:rPr>
                      <w:t>2</w:t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FD79A">
    <w:pPr>
      <w:pStyle w:val="2"/>
      <w:spacing w:line="14" w:lineRule="auto"/>
      <w:rPr>
        <w:b w:val="0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3851910</wp:posOffset>
              </wp:positionH>
              <wp:positionV relativeFrom="page">
                <wp:posOffset>9922510</wp:posOffset>
              </wp:positionV>
              <wp:extent cx="214630" cy="152400"/>
              <wp:effectExtent l="0" t="0" r="0" b="0"/>
              <wp:wrapNone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31F40D"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-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303.3pt;margin-top:781.3pt;height:12pt;width:16.9pt;mso-position-horizontal-relative:page;mso-position-vertical-relative:page;z-index:-251657216;mso-width-relative:page;mso-height-relative:page;" filled="f" stroked="f" coordsize="21600,21600" o:gfxdata="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VMXCnZAAAADQEAAA8AAAAAAAAAAQAgAAAAIgAAAGRycy9kb3ducmV2LnhtbFBL&#10;AQIUABQAAAAIAIdO4kC7rwq7vAEAAHQDAAAOAAAAAAAAAAEAIAAAACg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831F40D"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- -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9942830</wp:posOffset>
              </wp:positionV>
              <wp:extent cx="469900" cy="203835"/>
              <wp:effectExtent l="0" t="0" r="0" b="0"/>
              <wp:wrapNone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90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1D191F"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left:84.05pt;margin-top:782.9pt;height:16.05pt;width:37pt;mso-position-horizontal-relative:page;mso-position-vertical-relative:page;z-index:-251657216;mso-width-relative:page;mso-height-relative:page;" filled="f" stroked="f" coordsize="21600,21600" o:gfxdata="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kaMgtgAAAANAQAADwAAAAAAAAABACAAAAAiAAAAZHJzL2Rvd25yZXYueG1sUEsB&#10;AhQAFAAAAAgAh07iQF3WKSy8AQAAdAMAAA4AAAAAAAAAAQAgAAAAJ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61D191F"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rPr>
                        <w:rFonts w:hint="eastAsia"/>
                        <w:lang w:val="en-US" w:eastAsia="zh-CN"/>
                      </w:rPr>
                      <w:t>1</w:t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AC152C">
    <w:pPr>
      <w:pStyle w:val="2"/>
      <w:spacing w:line="14" w:lineRule="auto"/>
      <w:rPr>
        <w:b w:val="0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2D3CC">
    <w:pPr>
      <w:pStyle w:val="2"/>
      <w:spacing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26374"/>
    <w:rsid w:val="018229B2"/>
    <w:rsid w:val="02BE10CC"/>
    <w:rsid w:val="03B409DD"/>
    <w:rsid w:val="03C52BEB"/>
    <w:rsid w:val="045126D0"/>
    <w:rsid w:val="04844854"/>
    <w:rsid w:val="052676B9"/>
    <w:rsid w:val="06935222"/>
    <w:rsid w:val="06E35A65"/>
    <w:rsid w:val="07FE491D"/>
    <w:rsid w:val="09A6526C"/>
    <w:rsid w:val="09F2400E"/>
    <w:rsid w:val="0A212765"/>
    <w:rsid w:val="0AC43BFC"/>
    <w:rsid w:val="0ACE6829"/>
    <w:rsid w:val="0AE24082"/>
    <w:rsid w:val="0AFA13CC"/>
    <w:rsid w:val="0B8C0001"/>
    <w:rsid w:val="0C3B7EEE"/>
    <w:rsid w:val="0C3E178C"/>
    <w:rsid w:val="0CF92DA9"/>
    <w:rsid w:val="0DDF0D4D"/>
    <w:rsid w:val="0E303356"/>
    <w:rsid w:val="0E9B2EC6"/>
    <w:rsid w:val="0E9B4C74"/>
    <w:rsid w:val="0ECC307F"/>
    <w:rsid w:val="0FEE34C9"/>
    <w:rsid w:val="10120F66"/>
    <w:rsid w:val="108F25B6"/>
    <w:rsid w:val="116A4DD1"/>
    <w:rsid w:val="119B31DD"/>
    <w:rsid w:val="123D54BE"/>
    <w:rsid w:val="126B0E01"/>
    <w:rsid w:val="12BB167C"/>
    <w:rsid w:val="133D279D"/>
    <w:rsid w:val="144731A8"/>
    <w:rsid w:val="14CB5B87"/>
    <w:rsid w:val="154C4F1A"/>
    <w:rsid w:val="155C2C83"/>
    <w:rsid w:val="15AF54A9"/>
    <w:rsid w:val="17CA0378"/>
    <w:rsid w:val="17CE7E68"/>
    <w:rsid w:val="19A215AC"/>
    <w:rsid w:val="1A4A39F2"/>
    <w:rsid w:val="1A58610F"/>
    <w:rsid w:val="1AEE25CF"/>
    <w:rsid w:val="1E1640D6"/>
    <w:rsid w:val="1E2A7DC2"/>
    <w:rsid w:val="1EAC6AFA"/>
    <w:rsid w:val="1ED63AA6"/>
    <w:rsid w:val="1ED866A8"/>
    <w:rsid w:val="1EFD1033"/>
    <w:rsid w:val="20120B0E"/>
    <w:rsid w:val="20CC6F0F"/>
    <w:rsid w:val="21246D4B"/>
    <w:rsid w:val="22140B6D"/>
    <w:rsid w:val="22675A7D"/>
    <w:rsid w:val="232C0139"/>
    <w:rsid w:val="23476D20"/>
    <w:rsid w:val="244A4D1A"/>
    <w:rsid w:val="24C543A1"/>
    <w:rsid w:val="24C7636B"/>
    <w:rsid w:val="2503584F"/>
    <w:rsid w:val="26467763"/>
    <w:rsid w:val="268362C1"/>
    <w:rsid w:val="270019DD"/>
    <w:rsid w:val="27A74232"/>
    <w:rsid w:val="27B8643F"/>
    <w:rsid w:val="27E94BB6"/>
    <w:rsid w:val="282910EA"/>
    <w:rsid w:val="2838132E"/>
    <w:rsid w:val="284657F9"/>
    <w:rsid w:val="28481571"/>
    <w:rsid w:val="284B2E0F"/>
    <w:rsid w:val="289C18BC"/>
    <w:rsid w:val="28A32C4B"/>
    <w:rsid w:val="29882A03"/>
    <w:rsid w:val="29BD7D3C"/>
    <w:rsid w:val="2BBD2276"/>
    <w:rsid w:val="2BCF3D57"/>
    <w:rsid w:val="2CA945A8"/>
    <w:rsid w:val="2D23627B"/>
    <w:rsid w:val="2D574004"/>
    <w:rsid w:val="2D76092E"/>
    <w:rsid w:val="2DBF0527"/>
    <w:rsid w:val="2DFD2DFD"/>
    <w:rsid w:val="2F6F1AD9"/>
    <w:rsid w:val="305667F5"/>
    <w:rsid w:val="32FF3174"/>
    <w:rsid w:val="332E1CAB"/>
    <w:rsid w:val="334E5EA9"/>
    <w:rsid w:val="33723946"/>
    <w:rsid w:val="33AD318F"/>
    <w:rsid w:val="351849C1"/>
    <w:rsid w:val="365E6403"/>
    <w:rsid w:val="36CC7811"/>
    <w:rsid w:val="371F5B92"/>
    <w:rsid w:val="383218F5"/>
    <w:rsid w:val="391D25A6"/>
    <w:rsid w:val="39553AED"/>
    <w:rsid w:val="39DA6378"/>
    <w:rsid w:val="3A43428E"/>
    <w:rsid w:val="3C3C0F95"/>
    <w:rsid w:val="3D402D06"/>
    <w:rsid w:val="3D430101"/>
    <w:rsid w:val="3E1A1FB1"/>
    <w:rsid w:val="3EB94B1E"/>
    <w:rsid w:val="3ED6747E"/>
    <w:rsid w:val="3F626F64"/>
    <w:rsid w:val="3F724CCD"/>
    <w:rsid w:val="3FAA26B9"/>
    <w:rsid w:val="3FCA68B7"/>
    <w:rsid w:val="3FCF2120"/>
    <w:rsid w:val="400E2C48"/>
    <w:rsid w:val="40AD420F"/>
    <w:rsid w:val="449A71A0"/>
    <w:rsid w:val="4597548E"/>
    <w:rsid w:val="463D149D"/>
    <w:rsid w:val="46EB783F"/>
    <w:rsid w:val="47F6293F"/>
    <w:rsid w:val="48C22822"/>
    <w:rsid w:val="49523BA5"/>
    <w:rsid w:val="4A192915"/>
    <w:rsid w:val="4A2A4B22"/>
    <w:rsid w:val="4B1B446B"/>
    <w:rsid w:val="4C83676C"/>
    <w:rsid w:val="4CAC7A71"/>
    <w:rsid w:val="4CD945DE"/>
    <w:rsid w:val="4D421428"/>
    <w:rsid w:val="507F724A"/>
    <w:rsid w:val="50942CF5"/>
    <w:rsid w:val="52120376"/>
    <w:rsid w:val="52974DA7"/>
    <w:rsid w:val="53676C63"/>
    <w:rsid w:val="544F3B03"/>
    <w:rsid w:val="553F5893"/>
    <w:rsid w:val="55FB55C5"/>
    <w:rsid w:val="56102E1E"/>
    <w:rsid w:val="568B6949"/>
    <w:rsid w:val="57763155"/>
    <w:rsid w:val="58C919AA"/>
    <w:rsid w:val="597731B4"/>
    <w:rsid w:val="59BB7545"/>
    <w:rsid w:val="5A4E03B9"/>
    <w:rsid w:val="5AFA409D"/>
    <w:rsid w:val="5B2335F4"/>
    <w:rsid w:val="5B363095"/>
    <w:rsid w:val="5CC74453"/>
    <w:rsid w:val="5DC10EA2"/>
    <w:rsid w:val="5E1C257C"/>
    <w:rsid w:val="5E826883"/>
    <w:rsid w:val="5EF07C91"/>
    <w:rsid w:val="5FCB425A"/>
    <w:rsid w:val="616C7377"/>
    <w:rsid w:val="61A13B83"/>
    <w:rsid w:val="61AE5BE1"/>
    <w:rsid w:val="626F711E"/>
    <w:rsid w:val="62A74B0A"/>
    <w:rsid w:val="62B334AF"/>
    <w:rsid w:val="631101D6"/>
    <w:rsid w:val="63163A3E"/>
    <w:rsid w:val="631D4DCC"/>
    <w:rsid w:val="635F7193"/>
    <w:rsid w:val="64B17EC2"/>
    <w:rsid w:val="651641C9"/>
    <w:rsid w:val="65A92947"/>
    <w:rsid w:val="66C0263F"/>
    <w:rsid w:val="66EC51E2"/>
    <w:rsid w:val="683C5CF5"/>
    <w:rsid w:val="68680898"/>
    <w:rsid w:val="68A11FFC"/>
    <w:rsid w:val="68BD6966"/>
    <w:rsid w:val="69201173"/>
    <w:rsid w:val="693E784B"/>
    <w:rsid w:val="69981651"/>
    <w:rsid w:val="6A2B6021"/>
    <w:rsid w:val="6A6B466F"/>
    <w:rsid w:val="6A8E65B0"/>
    <w:rsid w:val="6BAB02B2"/>
    <w:rsid w:val="6E0C6169"/>
    <w:rsid w:val="6E9C129B"/>
    <w:rsid w:val="6F4A6F49"/>
    <w:rsid w:val="6F4C5966"/>
    <w:rsid w:val="6FD902CD"/>
    <w:rsid w:val="714F6A99"/>
    <w:rsid w:val="716D5171"/>
    <w:rsid w:val="71AD1A11"/>
    <w:rsid w:val="72A20E4A"/>
    <w:rsid w:val="72E70F53"/>
    <w:rsid w:val="72E75711"/>
    <w:rsid w:val="739509AF"/>
    <w:rsid w:val="73AD7AA7"/>
    <w:rsid w:val="73C848E1"/>
    <w:rsid w:val="73DB0AB8"/>
    <w:rsid w:val="743D54D0"/>
    <w:rsid w:val="74C4154C"/>
    <w:rsid w:val="74D07EF1"/>
    <w:rsid w:val="75241FEA"/>
    <w:rsid w:val="758D5DE2"/>
    <w:rsid w:val="75BE41ED"/>
    <w:rsid w:val="77562203"/>
    <w:rsid w:val="77B43AFA"/>
    <w:rsid w:val="782C7B34"/>
    <w:rsid w:val="78A53442"/>
    <w:rsid w:val="78AF42C1"/>
    <w:rsid w:val="78F9378E"/>
    <w:rsid w:val="79314CD6"/>
    <w:rsid w:val="793F5645"/>
    <w:rsid w:val="79621333"/>
    <w:rsid w:val="79C92109"/>
    <w:rsid w:val="7A2465E9"/>
    <w:rsid w:val="7A9C2623"/>
    <w:rsid w:val="7ACF47A6"/>
    <w:rsid w:val="7B454A69"/>
    <w:rsid w:val="7B4E6013"/>
    <w:rsid w:val="7BD55DED"/>
    <w:rsid w:val="7BFC15CB"/>
    <w:rsid w:val="7CE16A13"/>
    <w:rsid w:val="7D133243"/>
    <w:rsid w:val="7D603DDC"/>
    <w:rsid w:val="7D615540"/>
    <w:rsid w:val="7D912DEC"/>
    <w:rsid w:val="7DB3215D"/>
    <w:rsid w:val="7E573431"/>
    <w:rsid w:val="7E68119A"/>
    <w:rsid w:val="7F0D1D41"/>
    <w:rsid w:val="7F5B2AAD"/>
    <w:rsid w:val="7F8F27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b/>
      <w:bCs/>
      <w:sz w:val="36"/>
      <w:szCs w:val="36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949</Words>
  <Characters>1522</Characters>
  <TotalTime>4</TotalTime>
  <ScaleCrop>false</ScaleCrop>
  <LinksUpToDate>false</LinksUpToDate>
  <CharactersWithSpaces>1619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2024-12-11T04:38:00Z</dcterms:created>
  <dc:creator>藏羚羊^^</dc:creator>
  <cp:lastModifiedBy>黄俊彬</cp:lastModifiedBy>
  <dcterms:modified xsi:type="dcterms:W3CDTF">2024-12-27T08:31:22Z</dcterms:modified>
  <dc:title>附件4 2024年度广东省科学技奖公示表1203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2024-12-11T00:00:00Z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136AF5DFDEF5479BB0C729779B649F02_13</vt:lpwstr>
  </property>
  <property fmtid="{D5CDD505-2E9C-101B-9397-08002B2CF9AE}" pid="7" name="KSOTemplateDocerSaveRecord">
    <vt:lpwstr>eyJoZGlkIjoiNmYyYWRhZjNlN2FlOTY3NDM5ZDVhMGUwYTcyNTQ2YzAiLCJ1c2VySWQiOiIzOTQyMjQ1MTYifQ==</vt:lpwstr>
  </property>
</Properties>
</file>