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2020年度广东省科学技术奖公示表</w:t>
      </w:r>
    </w:p>
    <w:p>
      <w:pPr>
        <w:pStyle w:val="2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（自然科学奖、技术发明奖、科技进步奖格式）</w:t>
      </w:r>
    </w:p>
    <w:p/>
    <w:tbl>
      <w:tblPr>
        <w:tblStyle w:val="10"/>
        <w:tblW w:w="94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项目名称</w:t>
            </w:r>
          </w:p>
        </w:tc>
        <w:tc>
          <w:tcPr>
            <w:tcW w:w="784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仿宋" w:hAnsi="仿宋" w:eastAsia="仿宋"/>
              </w:rPr>
              <w:t>青蒿素哌喹复方消灭传染源以快速控制疟疾的创新与推广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主要完成单位</w:t>
            </w:r>
          </w:p>
        </w:tc>
        <w:tc>
          <w:tcPr>
            <w:tcW w:w="7849" w:type="dxa"/>
            <w:vAlign w:val="center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广州中医药大学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spacing w:line="360" w:lineRule="auto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广州中医药大学科技产业园有限公司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spacing w:line="360" w:lineRule="auto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广东新南方青蒿药业股份有限公司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主要完成人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bCs/>
              </w:rPr>
              <w:t>（职称、完成单位、工作单位）</w:t>
            </w: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1.李国桥（教授、广州中医药大学、广州中医药大学，主要贡献：青蒿素哌喹复方</w:t>
            </w:r>
            <w:r>
              <w:rPr>
                <w:rFonts w:ascii="仿宋" w:hAnsi="仿宋" w:eastAsia="仿宋"/>
              </w:rPr>
              <w:t>第</w:t>
            </w:r>
            <w:r>
              <w:rPr>
                <w:rFonts w:hint="eastAsia" w:ascii="仿宋" w:hAnsi="仿宋" w:eastAsia="仿宋"/>
              </w:rPr>
              <w:t>一</w:t>
            </w:r>
            <w:r>
              <w:rPr>
                <w:rFonts w:ascii="仿宋" w:hAnsi="仿宋" w:eastAsia="仿宋"/>
              </w:rPr>
              <w:t>发明人</w:t>
            </w:r>
            <w:r>
              <w:rPr>
                <w:rFonts w:hint="eastAsia" w:ascii="仿宋" w:hAnsi="仿宋" w:eastAsia="仿宋"/>
              </w:rPr>
              <w:t>；该项目的发起、设计，柬埔寨试点和科摩罗莫埃利岛的实施、结果资料的收集和核实，直至论文的书写和新策略新方法的国际推广）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2.宋健平（研究员、广州中医药大学、广州中医药大学，主要贡献：青蒿素哌喹片</w:t>
            </w:r>
            <w:r>
              <w:rPr>
                <w:rFonts w:ascii="仿宋" w:hAnsi="仿宋" w:eastAsia="仿宋"/>
              </w:rPr>
              <w:t>第二发明人</w:t>
            </w:r>
            <w:r>
              <w:rPr>
                <w:rFonts w:hint="eastAsia" w:ascii="仿宋" w:hAnsi="仿宋" w:eastAsia="仿宋"/>
              </w:rPr>
              <w:t>；项目成果主要贡献人之一，技术方案、新策略、新方法的完善及国际推广应用）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3.邓长生（副研究员、广州中医药大学、广州中医药大学，主要贡献：负责科摩罗昂岛和大科岛快速控制疟疾项目现场负责人和国际推广）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谈博（教授、广州中医药大学、广州中医药大学，主要贡献：参与青蒿素哌喹复方临床研究和柬埔寨快速控制疟疾，负责早期科摩罗莫埃利岛快速控疟项目）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李国铭（助理研究员、广东新南方青蒿药业股份有限公司、广东新南方青蒿药业股份有限公司，主要贡献：参与科摩罗莫埃利疟疾流行调查、数据收集，并负责后期巩固。参与大科岛全民服药快速清除疟疾项目方案的推广与实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王琪（助理研究员、广州中医药大学、广州中医药大学，主要贡献：负责项目质量控制、参与青蒿素哌喹片毒理和抗性研究）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冯丽玲（副研究员、广东新南方青蒿药业股份有限公司、广东新南方青蒿药业股份有限公司，主要贡献：科摩罗莫埃利岛全民服药后低带虫率持续6年未能清除，在大科岛全民服药大幅度减少输入性疟疾的同时，运用PCR查源技术阳性者服药使之清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张红英（中级药师、广州中医药大学科技产业园有限公司、广州中医药大学科技产业园有限公司、主要贡献：负责青蒿素哌喹片知识产权保护、国际注册）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周耀芳（技师、广东新南方青蒿药业股份有限公司、广东新南方青蒿药业股份有限公司，主要贡献：参与柬埔寨和科摩罗现场原虫镜检和PCR查源）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0.</w:t>
            </w:r>
            <w:r>
              <w:rPr>
                <w:rFonts w:hint="eastAsia" w:ascii="仿宋" w:hAnsi="仿宋" w:eastAsia="仿宋"/>
              </w:rPr>
              <w:t>郑绍琴（中级药师、广州中医药大学科技产业园有限公司、广州中医药大学科技产业园有限公司、主要贡献：参与科摩罗疟疾防治工作，以及实验室青蒿素抗疟机理、抗药性等基础研究工作）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1.</w:t>
            </w:r>
            <w:r>
              <w:rPr>
                <w:rFonts w:hint="eastAsia" w:ascii="仿宋" w:hAnsi="仿宋" w:eastAsia="仿宋"/>
              </w:rPr>
              <w:t>徐勤（教授、广州中医药大学、广州中医药大学，主要贡献：青蒿素哌喹片上市后的毒理再研究）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2.</w:t>
            </w:r>
            <w:r>
              <w:rPr>
                <w:rFonts w:hint="eastAsia" w:ascii="仿宋" w:hAnsi="仿宋" w:eastAsia="仿宋"/>
              </w:rPr>
              <w:t>黄博（副研究员、广州中医药大学科技产业园有限公司、广州中医药大学科技产业园有限公司、主要贡献：负责科摩罗昂岛项目数据整理、大科岛青蒿素抗性监测）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3.</w:t>
            </w:r>
            <w:r>
              <w:rPr>
                <w:rFonts w:hint="eastAsia" w:ascii="仿宋" w:hAnsi="仿宋" w:eastAsia="仿宋"/>
              </w:rPr>
              <w:t>朱拉伊（名誉教授、广东新南方青蒿药业股份有限公司、广东新南方青蒿药业股份有限公司，主要贡献：参与项目管理和经费支持）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4.</w:t>
            </w:r>
            <w:r>
              <w:rPr>
                <w:rFonts w:hint="eastAsia" w:ascii="仿宋" w:hAnsi="仿宋" w:eastAsia="仿宋"/>
              </w:rPr>
              <w:t>潘隆华（助理经济师、广东新南方青蒿药业股份有限公司、广东新南方青蒿药业股份有限公司，主要贡献：早期科摩罗项目联系人，参与科摩罗快速控制疟疾的现场推进，负责青蒿素哌喹片国际市场推广）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tabs>
                <w:tab w:val="left" w:pos="312"/>
              </w:tabs>
              <w:adjustRightInd w:val="0"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  <w:r>
              <w:rPr>
                <w:rFonts w:ascii="仿宋" w:hAnsi="仿宋" w:eastAsia="仿宋"/>
              </w:rPr>
              <w:t>5.</w:t>
            </w:r>
            <w:r>
              <w:rPr>
                <w:rFonts w:hint="eastAsia" w:ascii="仿宋" w:hAnsi="仿宋" w:eastAsia="仿宋"/>
              </w:rPr>
              <w:t>杨兆丽（主管药师、广东新南方青蒿药业股份有限公司、广东新南方青蒿药业股份有限公司，主要贡献：</w:t>
            </w:r>
            <w:r>
              <w:rPr>
                <w:rFonts w:ascii="仿宋" w:hAnsi="仿宋" w:eastAsia="仿宋"/>
              </w:rPr>
              <w:t>参与青蒿素哌喹</w:t>
            </w:r>
            <w:r>
              <w:rPr>
                <w:rFonts w:hint="eastAsia" w:ascii="仿宋" w:hAnsi="仿宋" w:eastAsia="仿宋"/>
              </w:rPr>
              <w:t>复方</w:t>
            </w:r>
            <w:r>
              <w:rPr>
                <w:rFonts w:ascii="仿宋" w:hAnsi="仿宋" w:eastAsia="仿宋"/>
              </w:rPr>
              <w:t>药学研究</w:t>
            </w:r>
            <w:r>
              <w:rPr>
                <w:rFonts w:hint="eastAsia" w:ascii="仿宋" w:hAnsi="仿宋" w:eastAsia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代表性论文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专著目录</w:t>
            </w:r>
          </w:p>
        </w:tc>
        <w:tc>
          <w:tcPr>
            <w:tcW w:w="7849" w:type="dxa"/>
            <w:vAlign w:val="center"/>
          </w:tcPr>
          <w:p>
            <w:pPr>
              <w:numPr>
                <w:ilvl w:val="0"/>
                <w:numId w:val="1"/>
              </w:numPr>
              <w:ind w:left="0" w:hanging="391"/>
              <w:rPr>
                <w:rFonts w:eastAsia="仿宋"/>
              </w:rPr>
            </w:pPr>
            <w:r>
              <w:rPr>
                <w:rFonts w:eastAsia="仿宋"/>
              </w:rPr>
              <w:t>论文1：</w:t>
            </w:r>
            <w:r>
              <w:rPr>
                <w:rFonts w:ascii="仿宋" w:hAnsi="仿宋" w:eastAsia="仿宋"/>
              </w:rPr>
              <w:t>李国桥</w:t>
            </w:r>
            <w:r>
              <w:rPr>
                <w:rFonts w:hint="eastAsia" w:ascii="仿宋" w:hAnsi="仿宋" w:eastAsia="仿宋"/>
              </w:rPr>
              <w:t xml:space="preserve">等. </w:t>
            </w:r>
            <w:r>
              <w:fldChar w:fldCharType="begin"/>
            </w:r>
            <w:r>
              <w:instrText xml:space="preserve"> HYPERLINK "https://kns.cnki.net/kcms/detail/detail.aspx?filename=REST201001028&amp;dbcode=CJFQ&amp;dbname=CJFD2010&amp;v=" \t "https://kns.cnki.net/kcms/detail/frame/kcmstarget" </w:instrText>
            </w:r>
            <w:r>
              <w:fldChar w:fldCharType="separate"/>
            </w:r>
            <w:r>
              <w:rPr>
                <w:rFonts w:ascii="仿宋" w:hAnsi="仿宋" w:eastAsia="仿宋"/>
              </w:rPr>
              <w:t>Moheli岛快速灭源灭疟法实施1年报告(英文)</w:t>
            </w:r>
            <w:r>
              <w:rPr>
                <w:rFonts w:ascii="仿宋" w:hAnsi="仿宋" w:eastAsia="仿宋"/>
              </w:rPr>
              <w:fldChar w:fldCharType="end"/>
            </w:r>
            <w:r>
              <w:rPr>
                <w:rFonts w:hint="eastAsia" w:ascii="仿宋" w:hAnsi="仿宋" w:eastAsia="仿宋"/>
              </w:rPr>
              <w:t>.</w:t>
            </w:r>
            <w:r>
              <w:rPr>
                <w:rFonts w:ascii="仿宋" w:hAnsi="仿宋" w:eastAsia="仿宋"/>
              </w:rPr>
              <w:t>广州中医药大学学报 2010</w:t>
            </w:r>
            <w:r>
              <w:rPr>
                <w:rFonts w:hint="eastAsia" w:ascii="仿宋" w:hAnsi="仿宋" w:eastAsia="仿宋"/>
              </w:rPr>
              <w:t>,</w:t>
            </w:r>
            <w:r>
              <w:rPr>
                <w:rFonts w:ascii="仿宋" w:hAnsi="仿宋" w:eastAsia="仿宋"/>
              </w:rPr>
              <w:t>(01)</w:t>
            </w:r>
            <w:r>
              <w:rPr>
                <w:rFonts w:hint="eastAsia" w:ascii="仿宋" w:hAnsi="仿宋" w:eastAsia="仿宋"/>
              </w:rPr>
              <w:t>:90</w:t>
            </w:r>
            <w:r>
              <w:rPr>
                <w:rFonts w:eastAsia="仿宋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rPr>
                <w:rFonts w:eastAsia="仿宋"/>
              </w:rPr>
            </w:pPr>
            <w:r>
              <w:rPr>
                <w:rFonts w:eastAsia="仿宋"/>
              </w:rPr>
              <w:t>论文2：Jianping Song, et al. Rapid and effective malaria control in Cambodia through mass administration of artemisinin-piperaquine. Malaria Journal, 2010, 9:57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"/>
              </w:rPr>
            </w:pPr>
            <w:r>
              <w:rPr>
                <w:rFonts w:eastAsia="仿宋"/>
              </w:rPr>
              <w:t>论文3：</w:t>
            </w:r>
            <w:r>
              <w:rPr>
                <w:rFonts w:hint="eastAsia" w:eastAsia="仿宋"/>
              </w:rPr>
              <w:t>Changsheng Deng</w:t>
            </w:r>
            <w:r>
              <w:rPr>
                <w:rFonts w:eastAsia="仿宋"/>
              </w:rPr>
              <w:t>, et al. Large-scale Artemisinin–Piperaquine Mass Drug Administration With or Without Primaquine Dramatically Reduces Malaria in a Highly Endemic Region of Africa, Clinical Infectious Diseases, 2018:67, DOI: </w:t>
            </w:r>
            <w:r>
              <w:fldChar w:fldCharType="begin"/>
            </w:r>
            <w:r>
              <w:instrText xml:space="preserve"> HYPERLINK "http://dx.doi.org/10.1093/cid/ciy364" \t "http://www.x-mol.com/paper/_blank" </w:instrText>
            </w:r>
            <w:r>
              <w:fldChar w:fldCharType="separate"/>
            </w:r>
            <w:r>
              <w:rPr>
                <w:rFonts w:eastAsia="仿宋"/>
              </w:rPr>
              <w:t>10.1093/cid/ciy364</w:t>
            </w:r>
            <w:r>
              <w:rPr>
                <w:rFonts w:eastAsia="仿宋"/>
              </w:rPr>
              <w:fldChar w:fldCharType="end"/>
            </w:r>
            <w:r>
              <w:rPr>
                <w:rFonts w:eastAsia="仿宋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"/>
              </w:rPr>
            </w:pPr>
            <w:r>
              <w:rPr>
                <w:rFonts w:eastAsia="仿宋"/>
              </w:rPr>
              <w:t>论文4：Bo Huang, et al. Temporal changes in genetic diversity of msp-1, msp-2, and msp-3 in Plasmodium falciparum isolates from Grande Comore Island after introduction of ACT. Malaria Journal, 2018. 17:83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spacing w:line="320" w:lineRule="exact"/>
              <w:rPr>
                <w:rFonts w:eastAsia="仿宋"/>
                <w:iCs/>
                <w:sz w:val="18"/>
                <w:szCs w:val="18"/>
              </w:rPr>
            </w:pPr>
            <w:r>
              <w:rPr>
                <w:rFonts w:hint="eastAsia" w:ascii="仿宋" w:hAnsi="仿宋" w:eastAsia="仿宋"/>
              </w:rPr>
              <w:t>论文5：</w:t>
            </w:r>
            <w:r>
              <w:rPr>
                <w:rFonts w:eastAsia="仿宋"/>
              </w:rPr>
              <w:t>Bo Huang, et al. Prevalence of crt and mdr-1 mutations in Plasmodium falciparum isolates from Grande Comore Island after withdrawal of chloroquine. Malaria Journal, 2016. 15:414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知识产权名称</w:t>
            </w: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1.中国发明专利：&lt;复方青蒿素 &gt;（ZL03146951.5、发明人：李国桥、宋健平、权利人：李国桥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2.美国发明专利：&lt;</w:t>
            </w:r>
            <w:r>
              <w:t xml:space="preserve"> </w:t>
            </w:r>
            <w:r>
              <w:rPr>
                <w:rFonts w:eastAsia="仿宋"/>
              </w:rPr>
              <w:t>COMPOSITION CONTAINING ARTEMISININ FOR TREATMENT OF MALARLA &gt;（US7851512B2、发明人：李国桥、宋健平、权利人：李国桥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3.非洲工业产权组织发明专利：&lt;</w:t>
            </w:r>
            <w:r>
              <w:t xml:space="preserve"> </w:t>
            </w:r>
            <w:r>
              <w:rPr>
                <w:rFonts w:eastAsia="仿宋"/>
              </w:rPr>
              <w:t>Compound artemisinin &gt;（AP2485、发明人：Li Guoqiao, Song Jianping;专利权人： Li Guoqiao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4.菲律宾发明专利：&lt;</w:t>
            </w:r>
            <w:r>
              <w:t xml:space="preserve"> </w:t>
            </w:r>
            <w:r>
              <w:rPr>
                <w:rFonts w:eastAsia="仿宋"/>
              </w:rPr>
              <w:t xml:space="preserve">COMPRISING ARTEMISNIN &gt;（12006500570、发明人：Li Guoqiao, Song Jianping; 专利权人：Li Guoqiao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5. 尼日利亚发明专利：&lt;</w:t>
            </w:r>
            <w:r>
              <w:t xml:space="preserve"> </w:t>
            </w:r>
            <w:r>
              <w:rPr>
                <w:rFonts w:eastAsia="仿宋"/>
              </w:rPr>
              <w:t>ARTEMISININ COMBINATION THERAPY FOR MALARIA: BEYOND GOOD EFFICACY &gt;（NG/C/2013/527、发明人：Li Guoqiao, Song Jianping;专利权人： Li Guoqiao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6.印度发明专利：&lt;</w:t>
            </w:r>
            <w:r>
              <w:t xml:space="preserve"> A COMPOSITION</w:t>
            </w:r>
            <w:r>
              <w:rPr>
                <w:rFonts w:eastAsia="仿宋"/>
              </w:rPr>
              <w:t xml:space="preserve">&gt;（241685、发明人：Li Guoqiao, Song Jianping; 专利权人：Li Guoqiao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7.南非发明专利：&lt;</w:t>
            </w:r>
            <w:r>
              <w:t xml:space="preserve"> </w:t>
            </w:r>
            <w:r>
              <w:rPr>
                <w:rFonts w:eastAsia="仿宋"/>
              </w:rPr>
              <w:t>COMPRISING ARTEMISNIN &gt;（2006/02422、发明人：Li Guoqiao, Song Jianping; 专利权人：Li Guoqiao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8.非洲知识产权组织专利&lt;</w:t>
            </w:r>
            <w:r>
              <w:t xml:space="preserve"> </w:t>
            </w:r>
            <w:r>
              <w:rPr>
                <w:rFonts w:eastAsia="仿宋"/>
              </w:rPr>
              <w:t>COMPRISING ARTEMISNIN &gt;（IEC06001POA、发明人：Li Guoqiao, Song Jianping; 专利权人：Li Guoqiao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9.印度尼西亚发明专利&lt;</w:t>
            </w:r>
            <w:r>
              <w:t xml:space="preserve"> </w:t>
            </w:r>
            <w:r>
              <w:rPr>
                <w:rFonts w:eastAsia="仿宋"/>
              </w:rPr>
              <w:t>COMPRISING ARTEMISNIN &gt;（IDP0027616、发明人：Li Guoqiao, Song Jianping; 专利权人：Li Guoqiao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784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"/>
              </w:rPr>
              <w:t>10.马达加斯加发明专利&lt;</w:t>
            </w:r>
            <w:r>
              <w:t xml:space="preserve"> </w:t>
            </w:r>
            <w:r>
              <w:rPr>
                <w:rFonts w:eastAsia="仿宋"/>
              </w:rPr>
              <w:t>COMPRISING ARTEMISNIN &gt;（520、发明人：Li Guoqiao, Song Jianping; 专利权人：Li Guoqiao</w:t>
            </w:r>
          </w:p>
        </w:tc>
      </w:tr>
    </w:tbl>
    <w:p>
      <w:pPr>
        <w:tabs>
          <w:tab w:val="left" w:pos="425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</w:rPr>
        <w:sectPr>
          <w:footerReference r:id="rId3" w:type="default"/>
          <w:pgSz w:w="11906" w:h="16838"/>
          <w:pgMar w:top="1985" w:right="1134" w:bottom="1440" w:left="1701" w:header="851" w:footer="992" w:gutter="0"/>
          <w:pgNumType w:fmt="numberInDash"/>
          <w:cols w:space="720" w:num="1"/>
          <w:docGrid w:linePitch="312" w:charSpace="0"/>
        </w:sectPr>
      </w:pPr>
    </w:p>
    <w:p/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hpgkvTAAAA&#10;BQEAAA8AAAAAAAAAAQAgAAAAIgAAAGRycy9kb3ducmV2LnhtbFBLAQIUABQAAAAIAIdO4kCY3bFM&#10;sAEAAEkDAAAOAAAAAAAAAAEAIAAAACIBAABkcnMvZTJvRG9jLnhtbFBLBQYAAAAABgAGAFkBAABE&#10;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  <w:r>
      <w:rPr>
        <w:rFonts w:hint="eastAsia"/>
        <w:szCs w:val="21"/>
      </w:rPr>
      <w:t>- 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19867469" o:spid="_x0000_s2050" o:spt="75" type="#_x0000_t75" style="position:absolute;left:0pt;height:586.8pt;width:414.8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1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37F8A"/>
    <w:multiLevelType w:val="multilevel"/>
    <w:tmpl w:val="28C37F8A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 w:ascii="宋体" w:hAnsi="Times New Roman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343E38"/>
    <w:rsid w:val="000314DC"/>
    <w:rsid w:val="000E2D9A"/>
    <w:rsid w:val="0011547A"/>
    <w:rsid w:val="001B2AB9"/>
    <w:rsid w:val="002265F7"/>
    <w:rsid w:val="0028192F"/>
    <w:rsid w:val="002C7935"/>
    <w:rsid w:val="00326DE3"/>
    <w:rsid w:val="00495CA1"/>
    <w:rsid w:val="00541D27"/>
    <w:rsid w:val="00557AEF"/>
    <w:rsid w:val="005D2581"/>
    <w:rsid w:val="006046FC"/>
    <w:rsid w:val="006414D4"/>
    <w:rsid w:val="0068659E"/>
    <w:rsid w:val="00724D29"/>
    <w:rsid w:val="007A6684"/>
    <w:rsid w:val="007B63C8"/>
    <w:rsid w:val="007E6A78"/>
    <w:rsid w:val="00817ACA"/>
    <w:rsid w:val="008350D8"/>
    <w:rsid w:val="008828C8"/>
    <w:rsid w:val="008F47BA"/>
    <w:rsid w:val="009213E2"/>
    <w:rsid w:val="00A55FBF"/>
    <w:rsid w:val="00A932C2"/>
    <w:rsid w:val="00B13111"/>
    <w:rsid w:val="00B965A7"/>
    <w:rsid w:val="00C00F26"/>
    <w:rsid w:val="00C4048A"/>
    <w:rsid w:val="00CB3072"/>
    <w:rsid w:val="00CF564D"/>
    <w:rsid w:val="00D05383"/>
    <w:rsid w:val="00D16292"/>
    <w:rsid w:val="00D857AF"/>
    <w:rsid w:val="00DD5772"/>
    <w:rsid w:val="00E37169"/>
    <w:rsid w:val="00E43B76"/>
    <w:rsid w:val="00EA48A7"/>
    <w:rsid w:val="00F131F7"/>
    <w:rsid w:val="03F509F2"/>
    <w:rsid w:val="08382A04"/>
    <w:rsid w:val="12FF64E7"/>
    <w:rsid w:val="14200C3D"/>
    <w:rsid w:val="369A2964"/>
    <w:rsid w:val="37343E38"/>
    <w:rsid w:val="39065086"/>
    <w:rsid w:val="3D271EE1"/>
    <w:rsid w:val="3EEB27F0"/>
    <w:rsid w:val="42731187"/>
    <w:rsid w:val="438E00E5"/>
    <w:rsid w:val="4E070BD0"/>
    <w:rsid w:val="55840738"/>
    <w:rsid w:val="5703433E"/>
    <w:rsid w:val="5BB12F5B"/>
    <w:rsid w:val="5E7A0FF9"/>
    <w:rsid w:val="5EF606BF"/>
    <w:rsid w:val="68EF1698"/>
    <w:rsid w:val="6D363A83"/>
    <w:rsid w:val="6E551B2C"/>
    <w:rsid w:val="6E680090"/>
    <w:rsid w:val="735E588F"/>
    <w:rsid w:val="7F42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eastAsia="仿宋_GB2312"/>
      <w:kern w:val="0"/>
      <w:sz w:val="28"/>
      <w:szCs w:val="20"/>
    </w:rPr>
  </w:style>
  <w:style w:type="character" w:default="1" w:styleId="5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FollowedHyperlink"/>
    <w:basedOn w:val="5"/>
    <w:qFormat/>
    <w:uiPriority w:val="0"/>
    <w:rPr>
      <w:color w:val="80008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qFormat/>
    <w:uiPriority w:val="0"/>
    <w:rPr>
      <w:color w:val="0000FF"/>
      <w:u w:val="single"/>
    </w:rPr>
  </w:style>
  <w:style w:type="character" w:customStyle="1" w:styleId="11">
    <w:name w:val="bg"/>
    <w:basedOn w:val="5"/>
    <w:qFormat/>
    <w:uiPriority w:val="0"/>
  </w:style>
  <w:style w:type="character" w:customStyle="1" w:styleId="12">
    <w:name w:val="页眉 字符"/>
    <w:basedOn w:val="5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513</Words>
  <Characters>2930</Characters>
  <Lines>24</Lines>
  <Paragraphs>6</Paragraphs>
  <TotalTime>107</TotalTime>
  <ScaleCrop>false</ScaleCrop>
  <LinksUpToDate>false</LinksUpToDate>
  <CharactersWithSpaces>3437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2020-08-11T03:02:00Z</dcterms:created>
  <dc:creator>MaoshengChen</dc:creator>
  <cp:lastModifiedBy>LWB</cp:lastModifiedBy>
  <cp:lastPrinted>2020-07-30T00:59:00Z</cp:lastPrinted>
  <dcterms:modified xsi:type="dcterms:W3CDTF">2020-08-20T03:01:13Z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