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eastAsia="宋体" w:cs="宋体"/>
          <w:b/>
          <w:bCs/>
          <w:sz w:val="36"/>
          <w:szCs w:val="36"/>
        </w:rPr>
      </w:pPr>
      <w:r>
        <w:rPr>
          <w:rFonts w:hint="eastAsia" w:ascii="宋体" w:hAnsi="宋体" w:eastAsia="宋体" w:cs="宋体"/>
          <w:b/>
          <w:bCs/>
          <w:sz w:val="36"/>
          <w:szCs w:val="36"/>
        </w:rPr>
        <w:t>2020年度广东省科学技术奖公示表</w:t>
      </w:r>
    </w:p>
    <w:p>
      <w:pPr>
        <w:pStyle w:val="2"/>
        <w:rPr>
          <w:rFonts w:hint="eastAsia" w:ascii="宋体" w:hAnsi="宋体" w:eastAsia="宋体" w:cs="宋体"/>
          <w:b/>
          <w:bCs/>
          <w:sz w:val="36"/>
          <w:szCs w:val="36"/>
        </w:rPr>
      </w:pPr>
      <w:r>
        <w:rPr>
          <w:rFonts w:hint="eastAsia" w:ascii="宋体" w:hAnsi="宋体" w:eastAsia="宋体" w:cs="宋体"/>
          <w:b/>
          <w:bCs/>
          <w:sz w:val="36"/>
          <w:szCs w:val="36"/>
        </w:rPr>
        <w:t>（自然科学奖、技术发明奖、科技进步奖格式）</w:t>
      </w:r>
    </w:p>
    <w:p>
      <w:pPr>
        <w:rPr>
          <w:rFonts w:hint="eastAsia"/>
        </w:rPr>
      </w:pPr>
    </w:p>
    <w:tbl>
      <w:tblPr>
        <w:tblStyle w:val="4"/>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7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615" w:type="dxa"/>
            <w:noWrap w:val="0"/>
            <w:vAlign w:val="center"/>
          </w:tcPr>
          <w:p>
            <w:pPr>
              <w:adjustRightInd w:val="0"/>
              <w:snapToGrid w:val="0"/>
              <w:jc w:val="center"/>
              <w:rPr>
                <w:rFonts w:hint="eastAsia" w:ascii="仿宋" w:hAnsi="仿宋" w:eastAsia="仿宋"/>
                <w:b/>
                <w:bCs/>
              </w:rPr>
            </w:pPr>
            <w:r>
              <w:rPr>
                <w:rFonts w:hint="eastAsia" w:ascii="仿宋" w:hAnsi="仿宋" w:eastAsia="仿宋"/>
                <w:b/>
                <w:bCs/>
              </w:rPr>
              <w:t>项目名称</w:t>
            </w:r>
          </w:p>
        </w:tc>
        <w:tc>
          <w:tcPr>
            <w:tcW w:w="7849" w:type="dxa"/>
            <w:noWrap w:val="0"/>
            <w:vAlign w:val="center"/>
          </w:tcPr>
          <w:p>
            <w:pPr>
              <w:spacing w:line="360" w:lineRule="auto"/>
              <w:jc w:val="center"/>
              <w:rPr>
                <w:rFonts w:hint="eastAsia" w:ascii="仿宋" w:hAnsi="仿宋" w:eastAsia="仿宋"/>
                <w:b/>
                <w:bCs/>
              </w:rPr>
            </w:pPr>
            <w:r>
              <w:rPr>
                <w:rFonts w:hint="eastAsia" w:ascii="仿宋" w:hAnsi="仿宋" w:eastAsia="仿宋"/>
                <w:b w:val="0"/>
                <w:bCs w:val="0"/>
                <w:lang w:eastAsia="zh-CN"/>
              </w:rPr>
              <w:t>益气活血化痰法治疗急性心肌梗死关键技术体系创建及临床推广应用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615" w:type="dxa"/>
            <w:vMerge w:val="restart"/>
            <w:noWrap w:val="0"/>
            <w:vAlign w:val="center"/>
          </w:tcPr>
          <w:p>
            <w:pPr>
              <w:snapToGrid w:val="0"/>
              <w:jc w:val="center"/>
              <w:rPr>
                <w:rFonts w:hint="eastAsia" w:ascii="仿宋" w:hAnsi="仿宋" w:eastAsia="仿宋"/>
              </w:rPr>
            </w:pPr>
            <w:r>
              <w:rPr>
                <w:rFonts w:hint="eastAsia" w:ascii="仿宋" w:hAnsi="仿宋" w:eastAsia="仿宋"/>
                <w:b/>
                <w:bCs/>
              </w:rPr>
              <w:t>主要完成单位</w:t>
            </w:r>
          </w:p>
        </w:tc>
        <w:tc>
          <w:tcPr>
            <w:tcW w:w="7849" w:type="dxa"/>
            <w:noWrap w:val="0"/>
            <w:vAlign w:val="center"/>
          </w:tcPr>
          <w:p>
            <w:pPr>
              <w:spacing w:line="360" w:lineRule="auto"/>
              <w:rPr>
                <w:rFonts w:hint="eastAsia" w:ascii="仿宋" w:hAnsi="仿宋" w:eastAsia="仿宋"/>
              </w:rPr>
            </w:pPr>
            <w:r>
              <w:rPr>
                <w:rFonts w:hint="eastAsia" w:ascii="仿宋" w:hAnsi="仿宋" w:eastAsia="仿宋"/>
                <w:lang w:val="en-US" w:eastAsia="zh-CN"/>
              </w:rPr>
              <w:t>广州中医药大学第二附属医院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center"/>
          </w:tcPr>
          <w:p>
            <w:pPr>
              <w:spacing w:line="360" w:lineRule="auto"/>
              <w:rPr>
                <w:rFonts w:hint="eastAsia" w:ascii="仿宋" w:hAnsi="仿宋" w:eastAsia="仿宋" w:cs="宋体"/>
              </w:rPr>
            </w:pPr>
            <w:r>
              <w:rPr>
                <w:rFonts w:hint="eastAsia" w:ascii="仿宋" w:hAnsi="仿宋" w:eastAsia="仿宋" w:cs="宋体"/>
                <w:lang w:val="en-US" w:eastAsia="zh-CN"/>
              </w:rPr>
              <w:t>新疆医科大学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center"/>
          </w:tcPr>
          <w:p>
            <w:pPr>
              <w:spacing w:line="360" w:lineRule="auto"/>
              <w:rPr>
                <w:rFonts w:hint="eastAsia" w:ascii="仿宋" w:hAnsi="仿宋" w:eastAsia="仿宋" w:cs="宋体"/>
                <w:lang w:val="en-US" w:eastAsia="zh-CN"/>
              </w:rPr>
            </w:pPr>
            <w:r>
              <w:rPr>
                <w:rFonts w:hint="eastAsia" w:ascii="仿宋" w:hAnsi="仿宋" w:eastAsia="仿宋" w:cs="宋体"/>
                <w:lang w:val="en-US" w:eastAsia="zh-CN"/>
              </w:rPr>
              <w:t>北京中医药大学东方医院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center"/>
          </w:tcPr>
          <w:p>
            <w:pPr>
              <w:spacing w:line="360" w:lineRule="auto"/>
              <w:jc w:val="left"/>
              <w:rPr>
                <w:rFonts w:hint="eastAsia" w:ascii="仿宋" w:hAnsi="仿宋" w:eastAsia="仿宋" w:cs="宋体"/>
                <w:lang w:eastAsia="zh-CN"/>
              </w:rPr>
            </w:pPr>
            <w:r>
              <w:rPr>
                <w:rFonts w:hint="eastAsia" w:ascii="仿宋" w:hAnsi="仿宋" w:eastAsia="仿宋" w:cs="宋体"/>
                <w:lang w:eastAsia="zh-CN"/>
              </w:rPr>
              <w:t>河南中医药大学第一附属医院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15" w:type="dxa"/>
            <w:vMerge w:val="continue"/>
            <w:noWrap w:val="0"/>
            <w:vAlign w:val="center"/>
          </w:tcPr>
          <w:p>
            <w:pPr>
              <w:spacing w:line="360" w:lineRule="auto"/>
              <w:jc w:val="center"/>
              <w:rPr>
                <w:rFonts w:hint="eastAsia" w:ascii="仿宋" w:hAnsi="仿宋" w:eastAsia="仿宋"/>
                <w:b/>
                <w:bCs/>
              </w:rPr>
            </w:pPr>
          </w:p>
        </w:tc>
        <w:tc>
          <w:tcPr>
            <w:tcW w:w="7849" w:type="dxa"/>
            <w:noWrap w:val="0"/>
            <w:vAlign w:val="center"/>
          </w:tcPr>
          <w:p>
            <w:pPr>
              <w:spacing w:line="360" w:lineRule="auto"/>
              <w:jc w:val="left"/>
              <w:rPr>
                <w:rFonts w:hint="eastAsia" w:ascii="仿宋" w:hAnsi="仿宋" w:eastAsia="仿宋" w:cs="宋体"/>
                <w:lang w:eastAsia="zh-CN"/>
              </w:rPr>
            </w:pPr>
            <w:r>
              <w:rPr>
                <w:rFonts w:hint="eastAsia" w:ascii="仿宋" w:hAnsi="仿宋" w:eastAsia="仿宋" w:cs="宋体"/>
                <w:lang w:eastAsia="zh-CN"/>
              </w:rPr>
              <w:t>江苏柯菲平医药股份有限公司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615" w:type="dxa"/>
            <w:vMerge w:val="continue"/>
            <w:noWrap w:val="0"/>
            <w:vAlign w:val="center"/>
          </w:tcPr>
          <w:p>
            <w:pPr>
              <w:spacing w:line="360" w:lineRule="auto"/>
              <w:jc w:val="center"/>
              <w:rPr>
                <w:rFonts w:hint="eastAsia" w:ascii="仿宋" w:hAnsi="仿宋" w:eastAsia="仿宋"/>
                <w:b/>
                <w:bCs/>
                <w:lang w:eastAsia="zh-CN"/>
              </w:rPr>
            </w:pPr>
          </w:p>
        </w:tc>
        <w:tc>
          <w:tcPr>
            <w:tcW w:w="7849" w:type="dxa"/>
            <w:noWrap w:val="0"/>
            <w:vAlign w:val="center"/>
          </w:tcPr>
          <w:p>
            <w:pPr>
              <w:spacing w:line="360" w:lineRule="auto"/>
              <w:jc w:val="left"/>
              <w:rPr>
                <w:rFonts w:hint="eastAsia" w:ascii="仿宋" w:hAnsi="仿宋" w:eastAsia="仿宋" w:cs="宋体"/>
                <w:lang w:eastAsia="zh-CN"/>
              </w:rPr>
            </w:pPr>
            <w:r>
              <w:rPr>
                <w:rFonts w:hint="eastAsia" w:ascii="仿宋" w:hAnsi="仿宋" w:eastAsia="仿宋" w:cs="宋体"/>
                <w:lang w:eastAsia="zh-CN"/>
              </w:rPr>
              <w:t>广州中医药大学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主要完成人</w:t>
            </w:r>
          </w:p>
          <w:p>
            <w:pPr>
              <w:adjustRightInd w:val="0"/>
              <w:snapToGrid w:val="0"/>
              <w:jc w:val="center"/>
              <w:rPr>
                <w:rFonts w:hint="eastAsia" w:ascii="仿宋" w:hAnsi="仿宋" w:eastAsia="仿宋"/>
              </w:rPr>
            </w:pPr>
            <w:r>
              <w:rPr>
                <w:rFonts w:hint="eastAsia" w:ascii="仿宋" w:hAnsi="仿宋" w:eastAsia="仿宋"/>
                <w:b/>
                <w:bCs/>
              </w:rPr>
              <w:t>（职称、完成单位、工作单位）</w:t>
            </w: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1.</w:t>
            </w:r>
            <w:r>
              <w:rPr>
                <w:rFonts w:hint="eastAsia" w:ascii="仿宋" w:hAnsi="仿宋" w:eastAsia="仿宋"/>
                <w:lang w:eastAsia="zh-CN"/>
              </w:rPr>
              <w:t>张敏州</w:t>
            </w:r>
            <w:r>
              <w:rPr>
                <w:rFonts w:hint="eastAsia" w:ascii="仿宋" w:hAnsi="仿宋" w:eastAsia="仿宋"/>
              </w:rPr>
              <w:t>（</w:t>
            </w:r>
            <w:r>
              <w:rPr>
                <w:rFonts w:hint="eastAsia" w:ascii="仿宋" w:hAnsi="仿宋" w:eastAsia="仿宋"/>
                <w:lang w:eastAsia="zh-CN"/>
              </w:rPr>
              <w:t>主任医师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主要贡献：</w:t>
            </w:r>
            <w:r>
              <w:rPr>
                <w:rFonts w:hint="eastAsia" w:ascii="仿宋" w:hAnsi="仿宋" w:eastAsia="仿宋"/>
                <w:lang w:val="en-US" w:eastAsia="zh-CN"/>
              </w:rPr>
              <w:t>项目总负责人，负责项目总体设计、组织实施与成果推广。指导益气活血化痰法治疗心肌梗死的疗效机制及科学内涵基础研究，推动了益气活血化痰法治疗心肌梗死的临床应用。</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2.</w:t>
            </w:r>
            <w:r>
              <w:rPr>
                <w:rFonts w:hint="eastAsia" w:ascii="仿宋" w:hAnsi="仿宋" w:eastAsia="仿宋"/>
                <w:lang w:eastAsia="zh-CN"/>
              </w:rPr>
              <w:t>郭力恒</w:t>
            </w:r>
            <w:r>
              <w:rPr>
                <w:rFonts w:hint="eastAsia" w:ascii="仿宋" w:hAnsi="仿宋" w:eastAsia="仿宋"/>
              </w:rPr>
              <w:t>（</w:t>
            </w:r>
            <w:r>
              <w:rPr>
                <w:rFonts w:hint="eastAsia" w:ascii="仿宋" w:hAnsi="仿宋" w:eastAsia="仿宋"/>
                <w:lang w:eastAsia="zh-CN"/>
              </w:rPr>
              <w:t>主任医师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参与了项目的总体设计，为项目的实施提供了中医理论和组织指导。负责急性心肌梗死绿色通道工作，提高了救治成功率。）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eastAsia" w:ascii="仿宋" w:hAnsi="仿宋" w:eastAsia="仿宋"/>
              </w:rPr>
            </w:pPr>
            <w:r>
              <w:rPr>
                <w:rFonts w:hint="eastAsia" w:ascii="仿宋" w:hAnsi="仿宋" w:eastAsia="仿宋"/>
              </w:rPr>
              <w:t>3.</w:t>
            </w:r>
            <w:r>
              <w:rPr>
                <w:rFonts w:hint="eastAsia" w:ascii="仿宋" w:hAnsi="仿宋" w:eastAsia="仿宋"/>
                <w:lang w:eastAsia="zh-CN"/>
              </w:rPr>
              <w:t>王萧</w:t>
            </w:r>
            <w:r>
              <w:rPr>
                <w:rFonts w:hint="eastAsia" w:ascii="仿宋" w:hAnsi="仿宋" w:eastAsia="仿宋"/>
              </w:rPr>
              <w:t>（</w:t>
            </w:r>
            <w:r>
              <w:rPr>
                <w:rFonts w:hint="eastAsia" w:ascii="仿宋" w:hAnsi="仿宋" w:eastAsia="仿宋"/>
                <w:lang w:eastAsia="zh-CN"/>
              </w:rPr>
              <w:t>教授</w:t>
            </w:r>
            <w:r>
              <w:rPr>
                <w:rFonts w:hint="eastAsia" w:ascii="仿宋" w:hAnsi="仿宋" w:eastAsia="仿宋"/>
              </w:rPr>
              <w:t>、</w:t>
            </w:r>
            <w:r>
              <w:rPr>
                <w:rFonts w:hint="eastAsia" w:ascii="仿宋" w:hAnsi="仿宋" w:eastAsia="仿宋"/>
                <w:lang w:eastAsia="zh-CN"/>
              </w:rPr>
              <w:t>广州中医药大学</w:t>
            </w:r>
            <w:r>
              <w:rPr>
                <w:rFonts w:hint="eastAsia" w:ascii="仿宋" w:hAnsi="仿宋" w:eastAsia="仿宋"/>
              </w:rPr>
              <w:t>、</w:t>
            </w:r>
            <w:r>
              <w:rPr>
                <w:rFonts w:hint="eastAsia" w:ascii="仿宋" w:hAnsi="仿宋" w:eastAsia="仿宋"/>
                <w:lang w:eastAsia="zh-CN"/>
              </w:rPr>
              <w:t>广州中医药大学</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负责急性心肌梗死中西医结合干预方案的制定和临床评价研究。通过主办、承办国内外学术会议、培训班，并深入高校、医院进行科普教育，积极推进本研究成果的推广与应用。</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default" w:ascii="仿宋" w:hAnsi="仿宋" w:eastAsia="仿宋"/>
                <w:lang w:val="en-US" w:eastAsia="zh-CN"/>
              </w:rPr>
            </w:pPr>
            <w:r>
              <w:rPr>
                <w:rFonts w:hint="eastAsia" w:ascii="仿宋" w:hAnsi="仿宋" w:eastAsia="仿宋"/>
                <w:lang w:val="en-US" w:eastAsia="zh-CN"/>
              </w:rPr>
              <w:t>毛帅</w:t>
            </w:r>
            <w:r>
              <w:rPr>
                <w:rFonts w:hint="eastAsia" w:ascii="仿宋" w:hAnsi="仿宋" w:eastAsia="仿宋"/>
              </w:rPr>
              <w:t>（</w:t>
            </w:r>
            <w:r>
              <w:rPr>
                <w:rFonts w:hint="eastAsia" w:ascii="仿宋" w:hAnsi="仿宋" w:eastAsia="仿宋"/>
                <w:lang w:eastAsia="zh-CN"/>
              </w:rPr>
              <w:t>副主任医师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负责急性心肌梗死血运重建患者的中医证候调查、专家咨询问卷等；负责中医干预方案的构建及评价研究，收集临床数据，撰写相关代表性论文。</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祁建勇</w:t>
            </w:r>
            <w:r>
              <w:rPr>
                <w:rFonts w:hint="eastAsia" w:ascii="仿宋" w:hAnsi="仿宋" w:eastAsia="仿宋"/>
              </w:rPr>
              <w:t>（</w:t>
            </w:r>
            <w:r>
              <w:rPr>
                <w:rFonts w:hint="eastAsia" w:ascii="仿宋" w:hAnsi="仿宋" w:eastAsia="仿宋"/>
                <w:lang w:eastAsia="zh-CN"/>
              </w:rPr>
              <w:t>副主任医师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负责心肌梗死再灌注中医药防治的实验基础研究及计算机仿真平台的构建；</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安冬青</w:t>
            </w:r>
            <w:r>
              <w:rPr>
                <w:rFonts w:hint="eastAsia" w:ascii="仿宋" w:hAnsi="仿宋" w:eastAsia="仿宋"/>
              </w:rPr>
              <w:t>（</w:t>
            </w:r>
            <w:r>
              <w:rPr>
                <w:rFonts w:hint="eastAsia" w:ascii="仿宋" w:hAnsi="仿宋" w:eastAsia="仿宋"/>
                <w:lang w:eastAsia="zh-CN"/>
              </w:rPr>
              <w:t>教授</w:t>
            </w:r>
            <w:r>
              <w:rPr>
                <w:rFonts w:hint="eastAsia" w:ascii="仿宋" w:hAnsi="仿宋" w:eastAsia="仿宋"/>
              </w:rPr>
              <w:t>、</w:t>
            </w:r>
            <w:r>
              <w:rPr>
                <w:rFonts w:hint="eastAsia" w:ascii="仿宋" w:hAnsi="仿宋" w:eastAsia="仿宋"/>
                <w:lang w:eastAsia="zh-CN"/>
              </w:rPr>
              <w:t>新疆医科大学中医医院</w:t>
            </w:r>
            <w:r>
              <w:rPr>
                <w:rFonts w:hint="eastAsia" w:ascii="仿宋" w:hAnsi="仿宋" w:eastAsia="仿宋"/>
              </w:rPr>
              <w:t>、</w:t>
            </w:r>
            <w:r>
              <w:rPr>
                <w:rFonts w:hint="eastAsia" w:ascii="仿宋" w:hAnsi="仿宋" w:eastAsia="仿宋"/>
                <w:lang w:eastAsia="zh-CN"/>
              </w:rPr>
              <w:t>新疆医科大学</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负责冠心病心肌梗死再灌注后中医药干预方案的制定和临床评价研究。承担了从研究设计、研究实施、结果分析、结题论证等全过程的工作。</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林谦</w:t>
            </w:r>
            <w:r>
              <w:rPr>
                <w:rFonts w:hint="eastAsia" w:ascii="仿宋" w:hAnsi="仿宋" w:eastAsia="仿宋"/>
              </w:rPr>
              <w:t>（</w:t>
            </w:r>
            <w:r>
              <w:rPr>
                <w:rFonts w:hint="eastAsia" w:ascii="仿宋" w:hAnsi="仿宋" w:eastAsia="仿宋"/>
                <w:lang w:eastAsia="zh-CN"/>
              </w:rPr>
              <w:t>教授</w:t>
            </w:r>
            <w:r>
              <w:rPr>
                <w:rFonts w:hint="eastAsia" w:ascii="仿宋" w:hAnsi="仿宋" w:eastAsia="仿宋"/>
              </w:rPr>
              <w:t>、</w:t>
            </w:r>
            <w:r>
              <w:rPr>
                <w:rFonts w:hint="eastAsia" w:ascii="仿宋" w:hAnsi="仿宋" w:eastAsia="仿宋"/>
                <w:lang w:eastAsia="zh-CN"/>
              </w:rPr>
              <w:t>北京中医药大学东方医院</w:t>
            </w:r>
            <w:r>
              <w:rPr>
                <w:rFonts w:hint="eastAsia" w:ascii="仿宋" w:hAnsi="仿宋" w:eastAsia="仿宋"/>
              </w:rPr>
              <w:t>、</w:t>
            </w:r>
            <w:r>
              <w:rPr>
                <w:rFonts w:hint="eastAsia" w:ascii="仿宋" w:hAnsi="仿宋" w:eastAsia="仿宋"/>
                <w:lang w:eastAsia="zh-CN"/>
              </w:rPr>
              <w:t>北京中医药大学东方医院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北京中医药大学东方医院分中心负责人，参与心肌梗死再灌注后中医干预方案的制定和评价，负责组织对课题的设计及全面实施。</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朱明军</w:t>
            </w:r>
            <w:r>
              <w:rPr>
                <w:rFonts w:hint="eastAsia" w:ascii="仿宋" w:hAnsi="仿宋" w:eastAsia="仿宋"/>
              </w:rPr>
              <w:t>（</w:t>
            </w:r>
            <w:r>
              <w:rPr>
                <w:rFonts w:hint="eastAsia" w:ascii="仿宋" w:hAnsi="仿宋" w:eastAsia="仿宋"/>
                <w:lang w:eastAsia="zh-CN"/>
              </w:rPr>
              <w:t>教授</w:t>
            </w:r>
            <w:r>
              <w:rPr>
                <w:rFonts w:hint="eastAsia" w:ascii="仿宋" w:hAnsi="仿宋" w:eastAsia="仿宋"/>
              </w:rPr>
              <w:t>、</w:t>
            </w:r>
            <w:r>
              <w:rPr>
                <w:rFonts w:hint="eastAsia" w:ascii="仿宋" w:hAnsi="仿宋" w:eastAsia="仿宋"/>
                <w:lang w:eastAsia="zh-CN"/>
              </w:rPr>
              <w:t>河南中医药大学第一附属医院</w:t>
            </w:r>
            <w:r>
              <w:rPr>
                <w:rFonts w:hint="eastAsia" w:ascii="仿宋" w:hAnsi="仿宋" w:eastAsia="仿宋"/>
              </w:rPr>
              <w:t>、</w:t>
            </w:r>
            <w:r>
              <w:rPr>
                <w:rFonts w:hint="eastAsia" w:ascii="仿宋" w:hAnsi="仿宋" w:eastAsia="仿宋"/>
                <w:lang w:eastAsia="zh-CN"/>
              </w:rPr>
              <w:t>河南中医院大学第一附属医院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参与急性心肌梗死再灌注后中医药疗效评价。</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秦引林</w:t>
            </w:r>
            <w:r>
              <w:rPr>
                <w:rFonts w:hint="eastAsia" w:ascii="仿宋" w:hAnsi="仿宋" w:eastAsia="仿宋"/>
              </w:rPr>
              <w:t>（</w:t>
            </w:r>
            <w:r>
              <w:rPr>
                <w:rFonts w:hint="eastAsia" w:ascii="仿宋" w:hAnsi="仿宋" w:eastAsia="仿宋"/>
                <w:lang w:eastAsia="zh-CN"/>
              </w:rPr>
              <w:t>高级工程师</w:t>
            </w:r>
            <w:r>
              <w:rPr>
                <w:rFonts w:hint="eastAsia" w:ascii="仿宋" w:hAnsi="仿宋" w:eastAsia="仿宋"/>
              </w:rPr>
              <w:t>、</w:t>
            </w:r>
            <w:r>
              <w:rPr>
                <w:rFonts w:hint="eastAsia" w:ascii="仿宋" w:hAnsi="仿宋" w:eastAsia="仿宋"/>
                <w:lang w:val="en-US" w:eastAsia="zh-CN"/>
              </w:rPr>
              <w:t>江苏柯菲平医药股份有限公司</w:t>
            </w:r>
            <w:r>
              <w:rPr>
                <w:rFonts w:hint="eastAsia" w:ascii="仿宋" w:hAnsi="仿宋" w:eastAsia="仿宋"/>
              </w:rPr>
              <w:t>、</w:t>
            </w:r>
            <w:r>
              <w:rPr>
                <w:rFonts w:hint="eastAsia" w:ascii="仿宋" w:hAnsi="仿宋" w:eastAsia="仿宋"/>
                <w:lang w:val="en-US" w:eastAsia="zh-CN"/>
              </w:rPr>
              <w:t>江苏柯菲平医药股份有限公司</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参与指导治疗急性心肌梗死药物丹参酮ⅡA磺酸钠注射液在临床的应用，在药物转化、推广应用方面做出了贡献。</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曾锐祥</w:t>
            </w:r>
            <w:r>
              <w:rPr>
                <w:rFonts w:hint="eastAsia" w:ascii="仿宋" w:hAnsi="仿宋" w:eastAsia="仿宋"/>
              </w:rPr>
              <w:t>（</w:t>
            </w:r>
            <w:r>
              <w:rPr>
                <w:rFonts w:hint="eastAsia" w:ascii="仿宋" w:hAnsi="仿宋" w:eastAsia="仿宋"/>
                <w:lang w:eastAsia="zh-CN"/>
              </w:rPr>
              <w:t>主治医师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承担益气活血化痰法治疗冠心病心肌梗死围术期并发症的研究。</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周袁申</w:t>
            </w:r>
            <w:r>
              <w:rPr>
                <w:rFonts w:hint="eastAsia" w:ascii="仿宋" w:hAnsi="仿宋" w:eastAsia="仿宋"/>
              </w:rPr>
              <w:t>（</w:t>
            </w:r>
            <w:r>
              <w:rPr>
                <w:rFonts w:hint="eastAsia" w:ascii="仿宋" w:hAnsi="仿宋" w:eastAsia="仿宋"/>
                <w:lang w:eastAsia="zh-CN"/>
              </w:rPr>
              <w:t>副主任医师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承担益气活血化痰法治疗冠心病心肌梗死后心室重构的相关研究。</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招煦杰</w:t>
            </w:r>
            <w:r>
              <w:rPr>
                <w:rFonts w:hint="eastAsia" w:ascii="仿宋" w:hAnsi="仿宋" w:eastAsia="仿宋"/>
              </w:rPr>
              <w:t>（</w:t>
            </w:r>
            <w:r>
              <w:rPr>
                <w:rFonts w:hint="eastAsia" w:ascii="仿宋" w:hAnsi="仿宋" w:eastAsia="仿宋"/>
                <w:lang w:eastAsia="zh-CN"/>
              </w:rPr>
              <w:t>主治医师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协助开展急性心肌梗死再灌注后中医药干预方案的多中心临床研究。</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张晓璇</w:t>
            </w:r>
            <w:r>
              <w:rPr>
                <w:rFonts w:hint="eastAsia" w:ascii="仿宋" w:hAnsi="仿宋" w:eastAsia="仿宋"/>
              </w:rPr>
              <w:t>（</w:t>
            </w:r>
            <w:r>
              <w:rPr>
                <w:rFonts w:hint="eastAsia" w:ascii="仿宋" w:hAnsi="仿宋" w:eastAsia="仿宋"/>
                <w:lang w:eastAsia="zh-CN"/>
              </w:rPr>
              <w:t>护士长</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协助开展急性心肌梗死再灌注后中医药干预方案的临床研究。</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陈茂生</w:t>
            </w:r>
            <w:r>
              <w:rPr>
                <w:rFonts w:hint="eastAsia" w:ascii="仿宋" w:hAnsi="仿宋" w:eastAsia="仿宋"/>
              </w:rPr>
              <w:t>（</w:t>
            </w:r>
            <w:r>
              <w:rPr>
                <w:rFonts w:hint="eastAsia" w:ascii="仿宋" w:hAnsi="仿宋" w:eastAsia="仿宋"/>
                <w:lang w:eastAsia="zh-CN"/>
              </w:rPr>
              <w:t>住院医师</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w:t>
            </w:r>
            <w:r>
              <w:rPr>
                <w:rFonts w:hint="eastAsia" w:ascii="仿宋" w:hAnsi="仿宋" w:eastAsia="仿宋"/>
                <w:lang w:val="en-US" w:eastAsia="zh-CN"/>
              </w:rPr>
              <w:t>协助急性心肌梗死“益气活血化痰”治法的优效性临床研究验证。</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1"/>
              </w:numPr>
              <w:adjustRightInd w:val="0"/>
              <w:snapToGrid w:val="0"/>
              <w:jc w:val="left"/>
              <w:rPr>
                <w:rFonts w:hint="eastAsia" w:ascii="仿宋" w:hAnsi="仿宋" w:eastAsia="仿宋"/>
                <w:lang w:val="en-US" w:eastAsia="zh-CN"/>
              </w:rPr>
            </w:pPr>
            <w:r>
              <w:rPr>
                <w:rFonts w:hint="eastAsia" w:ascii="仿宋" w:hAnsi="仿宋" w:eastAsia="仿宋"/>
                <w:lang w:val="en-US" w:eastAsia="zh-CN"/>
              </w:rPr>
              <w:t>孔勇杰</w:t>
            </w:r>
            <w:r>
              <w:rPr>
                <w:rFonts w:hint="eastAsia" w:ascii="仿宋" w:hAnsi="仿宋" w:eastAsia="仿宋"/>
              </w:rPr>
              <w:t>（</w:t>
            </w:r>
            <w:r>
              <w:rPr>
                <w:rFonts w:hint="eastAsia" w:ascii="仿宋" w:hAnsi="仿宋" w:eastAsia="仿宋"/>
                <w:lang w:eastAsia="zh-CN"/>
              </w:rPr>
              <w:t>住院医师</w:t>
            </w:r>
            <w:r>
              <w:rPr>
                <w:rFonts w:hint="eastAsia" w:ascii="仿宋" w:hAnsi="仿宋" w:eastAsia="仿宋"/>
              </w:rPr>
              <w:t>、</w:t>
            </w:r>
            <w:r>
              <w:rPr>
                <w:rFonts w:hint="eastAsia" w:ascii="仿宋" w:hAnsi="仿宋" w:eastAsia="仿宋"/>
                <w:lang w:eastAsia="zh-CN"/>
              </w:rPr>
              <w:t>广州中医药大学第二附属医院</w:t>
            </w:r>
            <w:bookmarkStart w:id="0" w:name="_GoBack"/>
            <w:bookmarkEnd w:id="0"/>
            <w:r>
              <w:rPr>
                <w:rFonts w:hint="eastAsia" w:ascii="仿宋" w:hAnsi="仿宋" w:eastAsia="仿宋"/>
              </w:rPr>
              <w:t>、</w:t>
            </w:r>
            <w:r>
              <w:rPr>
                <w:rFonts w:hint="eastAsia" w:ascii="仿宋" w:hAnsi="仿宋" w:eastAsia="仿宋"/>
                <w:lang w:eastAsia="zh-CN"/>
              </w:rPr>
              <w:t>广州中医药大学第二附属医院</w:t>
            </w:r>
            <w:r>
              <w:rPr>
                <w:rFonts w:hint="eastAsia" w:ascii="仿宋" w:hAnsi="仿宋" w:eastAsia="仿宋"/>
              </w:rPr>
              <w:t>、主要贡献</w:t>
            </w:r>
            <w:r>
              <w:rPr>
                <w:rFonts w:hint="eastAsia" w:ascii="仿宋" w:hAnsi="仿宋" w:eastAsia="仿宋"/>
                <w:lang w:eastAsia="zh-CN"/>
              </w:rPr>
              <w:t>：协助开展急性心肌梗死再灌注中医药干预方案的多中心研究</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代表性论文</w:t>
            </w:r>
          </w:p>
          <w:p>
            <w:pPr>
              <w:adjustRightInd w:val="0"/>
              <w:snapToGrid w:val="0"/>
              <w:jc w:val="center"/>
              <w:rPr>
                <w:rFonts w:hint="eastAsia" w:ascii="仿宋" w:hAnsi="仿宋" w:eastAsia="仿宋"/>
                <w:b/>
                <w:bCs/>
              </w:rPr>
            </w:pPr>
            <w:r>
              <w:rPr>
                <w:rFonts w:hint="eastAsia" w:ascii="仿宋" w:hAnsi="仿宋" w:eastAsia="仿宋"/>
                <w:b/>
                <w:bCs/>
              </w:rPr>
              <w:t>专著目录</w:t>
            </w: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论文1：</w:t>
            </w:r>
            <w:r>
              <w:rPr>
                <w:rFonts w:hint="eastAsia" w:ascii="仿宋" w:hAnsi="仿宋" w:eastAsia="仿宋"/>
                <w:lang w:eastAsia="zh-CN"/>
              </w:rPr>
              <w:fldChar w:fldCharType="begin"/>
            </w:r>
            <w:r>
              <w:rPr>
                <w:rFonts w:hint="eastAsia" w:ascii="仿宋" w:hAnsi="仿宋" w:eastAsia="仿宋"/>
                <w:lang w:eastAsia="zh-CN"/>
              </w:rPr>
              <w:instrText xml:space="preserve"> HYPERLINK "http://xueshu.baidu.com/s?wd=author:(%E5%BC%A0%E6%95%8F%E5%B7%9E) &amp;tn=SE_baiduxueshu_c1gjeupa&amp;ie=utf-8&amp;sc_f_para=sc_hilight=person" \t "http://xueshu.baidu.com/usercenter/paper/_blank" </w:instrText>
            </w:r>
            <w:r>
              <w:rPr>
                <w:rFonts w:hint="eastAsia" w:ascii="仿宋" w:hAnsi="仿宋" w:eastAsia="仿宋"/>
                <w:lang w:eastAsia="zh-CN"/>
              </w:rPr>
              <w:fldChar w:fldCharType="separate"/>
            </w:r>
            <w:r>
              <w:rPr>
                <w:rFonts w:hint="eastAsia" w:ascii="仿宋" w:hAnsi="仿宋" w:eastAsia="仿宋"/>
                <w:lang w:eastAsia="zh-CN"/>
              </w:rPr>
              <w:t>张敏州</w:t>
            </w:r>
            <w:r>
              <w:rPr>
                <w:rFonts w:hint="eastAsia" w:ascii="仿宋" w:hAnsi="仿宋" w:eastAsia="仿宋"/>
                <w:lang w:eastAsia="zh-CN"/>
              </w:rPr>
              <w:fldChar w:fldCharType="end"/>
            </w:r>
            <w:r>
              <w:rPr>
                <w:rFonts w:hint="eastAsia" w:ascii="仿宋" w:hAnsi="仿宋" w:eastAsia="仿宋"/>
                <w:lang w:eastAsia="zh-CN"/>
              </w:rPr>
              <w:t>. 急性心肌梗死中西医结合诊疗指南[J]. 中国中西医结合杂志, 2018, 38(3):272-284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numPr>
                <w:ilvl w:val="0"/>
                <w:numId w:val="0"/>
              </w:numPr>
              <w:rPr>
                <w:rFonts w:hint="eastAsia" w:ascii="仿宋" w:hAnsi="仿宋" w:eastAsia="仿宋"/>
              </w:rPr>
            </w:pPr>
            <w:r>
              <w:rPr>
                <w:rFonts w:hint="eastAsia" w:ascii="仿宋" w:hAnsi="仿宋" w:eastAsia="仿宋"/>
              </w:rPr>
              <w:t>论文2：</w:t>
            </w:r>
            <w:r>
              <w:rPr>
                <w:rFonts w:hint="eastAsia" w:ascii="微软雅黑" w:hAnsi="微软雅黑" w:eastAsia="微软雅黑" w:cs="微软雅黑"/>
                <w:i w:val="0"/>
                <w:caps w:val="0"/>
                <w:color w:val="000000"/>
                <w:spacing w:val="0"/>
                <w:sz w:val="16"/>
                <w:szCs w:val="16"/>
                <w:highlight w:val="none"/>
                <w:u w:val="none"/>
                <w:lang w:val="en-US" w:eastAsia="zh-CN"/>
              </w:rPr>
              <w:t>Mao S , Taylor S , Chen Q , et al. Sodium tanshinone IIA sulfonate prevents the adverse left ventricular remodelling: Focus on polymorphonuclear neutrophilヾerived granule components[J]. Journal of Cellular and Molecular Medicine, 2019, 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default" w:ascii="仿宋" w:hAnsi="仿宋" w:eastAsia="仿宋"/>
                <w:lang w:val="en-US" w:eastAsia="zh-CN"/>
              </w:rPr>
            </w:pPr>
            <w:r>
              <w:rPr>
                <w:rFonts w:hint="eastAsia" w:ascii="仿宋" w:hAnsi="仿宋" w:eastAsia="仿宋"/>
                <w:lang w:val="en-US" w:eastAsia="zh-CN"/>
              </w:rPr>
              <w:t>论文3：</w:t>
            </w:r>
            <w:r>
              <w:rPr>
                <w:rFonts w:hint="eastAsia" w:ascii="微软雅黑" w:hAnsi="微软雅黑" w:eastAsia="微软雅黑" w:cs="微软雅黑"/>
                <w:i w:val="0"/>
                <w:caps w:val="0"/>
                <w:color w:val="000000"/>
                <w:spacing w:val="0"/>
                <w:sz w:val="16"/>
                <w:szCs w:val="16"/>
                <w:highlight w:val="none"/>
                <w:u w:val="none"/>
                <w:lang w:val="en-US" w:eastAsia="zh-CN"/>
              </w:rPr>
              <w:t>Qi JY, Yu J, Huang DH, Guo LH, Wang L, Huang X, Huang HD, Zhou M, Zhang MZ, Wu J. Salvianolate reduces murine myocardial ischemia and reperfusion injury via ERK1/2 signaling pathways in vivo[J]. Chinese Journal of Integrative Medicine, 2017, 23(1):40-47.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default" w:ascii="仿宋" w:hAnsi="仿宋" w:eastAsia="仿宋"/>
                <w:lang w:val="en-US" w:eastAsia="zh-CN"/>
              </w:rPr>
            </w:pPr>
            <w:r>
              <w:rPr>
                <w:rFonts w:hint="eastAsia" w:ascii="仿宋" w:hAnsi="仿宋" w:eastAsia="仿宋"/>
              </w:rPr>
              <w:t>专著</w:t>
            </w:r>
            <w:r>
              <w:rPr>
                <w:rFonts w:hint="eastAsia" w:ascii="仿宋" w:hAnsi="仿宋" w:eastAsia="仿宋"/>
                <w:lang w:val="en-US" w:eastAsia="zh-CN"/>
              </w:rPr>
              <w:t>1</w:t>
            </w:r>
            <w:r>
              <w:rPr>
                <w:rFonts w:hint="eastAsia" w:ascii="仿宋" w:hAnsi="仿宋" w:eastAsia="仿宋"/>
              </w:rPr>
              <w:t>：&lt;</w:t>
            </w:r>
            <w:r>
              <w:rPr>
                <w:rFonts w:hint="eastAsia" w:ascii="仿宋" w:hAnsi="仿宋" w:eastAsia="仿宋"/>
                <w:lang w:eastAsia="zh-CN"/>
              </w:rPr>
              <w:t>中西医结合心脏病研究方法学</w:t>
            </w:r>
            <w:r>
              <w:rPr>
                <w:rFonts w:hint="eastAsia" w:ascii="仿宋" w:hAnsi="仿宋" w:eastAsia="仿宋"/>
              </w:rPr>
              <w:t>、</w:t>
            </w:r>
            <w:r>
              <w:rPr>
                <w:rFonts w:hint="eastAsia" w:ascii="仿宋" w:hAnsi="仿宋" w:eastAsia="仿宋"/>
                <w:lang w:eastAsia="zh-CN"/>
              </w:rPr>
              <w:t>人民卫生出版社</w:t>
            </w:r>
            <w:r>
              <w:rPr>
                <w:rFonts w:hint="eastAsia" w:ascii="仿宋" w:hAnsi="仿宋" w:eastAsia="仿宋"/>
              </w:rPr>
              <w:t>、</w:t>
            </w:r>
            <w:r>
              <w:rPr>
                <w:rFonts w:hint="eastAsia" w:ascii="仿宋" w:hAnsi="仿宋" w:eastAsia="仿宋"/>
                <w:lang w:eastAsia="zh-CN"/>
              </w:rPr>
              <w:t>主编：张敏州</w:t>
            </w:r>
            <w:r>
              <w:rPr>
                <w:rFonts w:hint="eastAsia" w:ascii="仿宋" w:hAnsi="仿宋" w:eastAsia="仿宋"/>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jc w:val="left"/>
              <w:rPr>
                <w:rFonts w:hint="default" w:ascii="仿宋" w:hAnsi="仿宋" w:eastAsia="仿宋"/>
                <w:lang w:val="en-US" w:eastAsia="zh-CN"/>
              </w:rPr>
            </w:pPr>
            <w:r>
              <w:rPr>
                <w:rFonts w:hint="eastAsia" w:ascii="仿宋" w:hAnsi="仿宋" w:eastAsia="仿宋"/>
                <w:lang w:eastAsia="zh-CN"/>
              </w:rPr>
              <w:t>专著</w:t>
            </w:r>
            <w:r>
              <w:rPr>
                <w:rFonts w:hint="eastAsia" w:ascii="仿宋" w:hAnsi="仿宋" w:eastAsia="仿宋"/>
                <w:lang w:val="en-US" w:eastAsia="zh-CN"/>
              </w:rPr>
              <w:t>2：</w:t>
            </w:r>
            <w:r>
              <w:rPr>
                <w:rFonts w:hint="eastAsia" w:ascii="仿宋" w:hAnsi="仿宋" w:eastAsia="仿宋"/>
              </w:rPr>
              <w:t>&lt;</w:t>
            </w:r>
            <w:r>
              <w:rPr>
                <w:rFonts w:hint="eastAsia" w:ascii="仿宋" w:hAnsi="仿宋" w:eastAsia="仿宋"/>
                <w:lang w:val="en-US" w:eastAsia="zh-CN"/>
              </w:rPr>
              <w:t>中西医结合重症医学临床研究、人民卫生出版社、主编：张敏州</w:t>
            </w:r>
            <w:r>
              <w:rPr>
                <w:rFonts w:hint="eastAsia" w:ascii="仿宋" w:hAnsi="仿宋" w:eastAsia="仿宋"/>
              </w:rPr>
              <w:t>&gt;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restart"/>
            <w:noWrap w:val="0"/>
            <w:vAlign w:val="center"/>
          </w:tcPr>
          <w:p>
            <w:pPr>
              <w:adjustRightInd w:val="0"/>
              <w:snapToGrid w:val="0"/>
              <w:jc w:val="center"/>
              <w:rPr>
                <w:rFonts w:hint="eastAsia" w:ascii="仿宋" w:hAnsi="仿宋" w:eastAsia="仿宋"/>
                <w:b/>
                <w:bCs/>
              </w:rPr>
            </w:pPr>
            <w:r>
              <w:rPr>
                <w:rFonts w:hint="eastAsia" w:ascii="仿宋" w:hAnsi="仿宋" w:eastAsia="仿宋"/>
                <w:b/>
                <w:bCs/>
              </w:rPr>
              <w:t>知识产权名称</w:t>
            </w: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1</w:t>
            </w:r>
            <w:r>
              <w:rPr>
                <w:rFonts w:hint="eastAsia" w:ascii="仿宋" w:hAnsi="仿宋" w:eastAsia="仿宋"/>
              </w:rPr>
              <w:t>：&lt;</w:t>
            </w:r>
            <w:r>
              <w:rPr>
                <w:rFonts w:hint="eastAsia" w:ascii="仿宋" w:hAnsi="仿宋" w:eastAsia="仿宋"/>
                <w:lang w:val="en-US" w:eastAsia="zh-CN"/>
              </w:rPr>
              <w:t>一种治疗冠心病的药物及其制备方法</w:t>
            </w:r>
            <w:r>
              <w:rPr>
                <w:rFonts w:hint="eastAsia" w:ascii="仿宋" w:hAnsi="仿宋" w:eastAsia="仿宋"/>
              </w:rPr>
              <w:t>&gt;（</w:t>
            </w:r>
            <w:r>
              <w:rPr>
                <w:rFonts w:hint="eastAsia" w:ascii="仿宋" w:hAnsi="仿宋" w:eastAsia="仿宋"/>
                <w:lang w:val="en-US" w:eastAsia="zh-CN"/>
              </w:rPr>
              <w:t>ZL200910210063.9、</w:t>
            </w:r>
            <w:r>
              <w:rPr>
                <w:rFonts w:hint="eastAsia" w:ascii="仿宋" w:hAnsi="仿宋" w:eastAsia="仿宋"/>
              </w:rPr>
              <w:t>发明人</w:t>
            </w:r>
            <w:r>
              <w:rPr>
                <w:rFonts w:hint="eastAsia" w:ascii="仿宋" w:hAnsi="仿宋" w:eastAsia="仿宋"/>
                <w:lang w:eastAsia="zh-CN"/>
              </w:rPr>
              <w:t>：</w:t>
            </w:r>
            <w:r>
              <w:rPr>
                <w:rFonts w:hint="eastAsia" w:ascii="仿宋" w:hAnsi="仿宋" w:eastAsia="仿宋"/>
                <w:lang w:val="en-US" w:eastAsia="zh-CN"/>
              </w:rPr>
              <w:t>安冬青、</w:t>
            </w:r>
            <w:r>
              <w:rPr>
                <w:rFonts w:hint="eastAsia" w:ascii="仿宋" w:hAnsi="仿宋" w:eastAsia="仿宋"/>
              </w:rPr>
              <w:t>权利人</w:t>
            </w:r>
            <w:r>
              <w:rPr>
                <w:rFonts w:hint="eastAsia" w:ascii="仿宋" w:hAnsi="仿宋" w:eastAsia="仿宋"/>
                <w:lang w:eastAsia="zh-CN"/>
              </w:rPr>
              <w:t>：</w:t>
            </w:r>
            <w:r>
              <w:rPr>
                <w:rFonts w:hint="eastAsia" w:ascii="仿宋" w:hAnsi="仿宋" w:eastAsia="仿宋"/>
                <w:lang w:val="en-US" w:eastAsia="zh-CN"/>
              </w:rPr>
              <w:t>安冬青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cs="Times New Roman"/>
                <w:kern w:val="2"/>
                <w:sz w:val="21"/>
                <w:szCs w:val="24"/>
                <w:lang w:val="en-US" w:eastAsia="zh-CN" w:bidi="ar-SA"/>
              </w:rPr>
            </w:pPr>
            <w:r>
              <w:rPr>
                <w:rFonts w:hint="eastAsia" w:ascii="仿宋" w:hAnsi="仿宋" w:eastAsia="仿宋"/>
              </w:rPr>
              <w:t>专利</w:t>
            </w:r>
            <w:r>
              <w:rPr>
                <w:rFonts w:hint="eastAsia" w:ascii="仿宋" w:hAnsi="仿宋" w:eastAsia="仿宋"/>
                <w:lang w:val="en-US" w:eastAsia="zh-CN"/>
              </w:rPr>
              <w:t>2</w:t>
            </w:r>
            <w:r>
              <w:rPr>
                <w:rFonts w:hint="eastAsia" w:ascii="仿宋" w:hAnsi="仿宋" w:eastAsia="仿宋"/>
              </w:rPr>
              <w:t>：</w:t>
            </w:r>
            <w:r>
              <w:rPr>
                <w:rFonts w:hint="eastAsia" w:ascii="仿宋" w:hAnsi="仿宋" w:eastAsia="仿宋"/>
                <w:lang w:val="en-US" w:eastAsia="zh-CN"/>
              </w:rPr>
              <w:t>&lt;调脂通络胶囊&gt;(ZL201010142424.3、</w:t>
            </w:r>
            <w:r>
              <w:rPr>
                <w:rFonts w:hint="eastAsia" w:ascii="仿宋" w:hAnsi="仿宋" w:eastAsia="仿宋"/>
              </w:rPr>
              <w:t>发明人</w:t>
            </w:r>
            <w:r>
              <w:rPr>
                <w:rFonts w:hint="eastAsia" w:ascii="仿宋" w:hAnsi="仿宋" w:eastAsia="仿宋"/>
                <w:lang w:eastAsia="zh-CN"/>
              </w:rPr>
              <w:t>：</w:t>
            </w:r>
            <w:r>
              <w:rPr>
                <w:rFonts w:hint="eastAsia" w:ascii="仿宋" w:hAnsi="仿宋" w:eastAsia="仿宋"/>
                <w:lang w:val="en-US" w:eastAsia="zh-CN"/>
              </w:rPr>
              <w:t>朱明军、杜廷海、王永霞、李彬、</w:t>
            </w:r>
            <w:r>
              <w:rPr>
                <w:rFonts w:hint="eastAsia" w:ascii="仿宋" w:hAnsi="仿宋" w:eastAsia="仿宋"/>
              </w:rPr>
              <w:t>权利人</w:t>
            </w:r>
            <w:r>
              <w:rPr>
                <w:rFonts w:hint="eastAsia" w:ascii="仿宋" w:hAnsi="仿宋" w:eastAsia="仿宋"/>
                <w:lang w:eastAsia="zh-CN"/>
              </w:rPr>
              <w:t>：</w:t>
            </w:r>
            <w:r>
              <w:rPr>
                <w:rFonts w:hint="eastAsia" w:ascii="仿宋" w:hAnsi="仿宋" w:eastAsia="仿宋"/>
                <w:lang w:val="en-US" w:eastAsia="zh-CN"/>
              </w:rPr>
              <w:t>朱明军)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default" w:ascii="仿宋" w:hAnsi="仿宋" w:eastAsia="仿宋" w:cs="Times New Roman"/>
                <w:kern w:val="2"/>
                <w:sz w:val="21"/>
                <w:szCs w:val="24"/>
                <w:lang w:val="en-US" w:eastAsia="zh-CN" w:bidi="ar-SA"/>
              </w:rPr>
            </w:pPr>
            <w:r>
              <w:rPr>
                <w:rFonts w:hint="eastAsia" w:ascii="仿宋" w:hAnsi="仿宋" w:eastAsia="仿宋"/>
              </w:rPr>
              <w:t>专利</w:t>
            </w:r>
            <w:r>
              <w:rPr>
                <w:rFonts w:hint="eastAsia" w:ascii="仿宋" w:hAnsi="仿宋" w:eastAsia="仿宋"/>
                <w:lang w:val="en-US" w:eastAsia="zh-CN"/>
              </w:rPr>
              <w:t>3</w:t>
            </w:r>
            <w:r>
              <w:rPr>
                <w:rFonts w:hint="eastAsia" w:ascii="仿宋" w:hAnsi="仿宋" w:eastAsia="仿宋"/>
              </w:rPr>
              <w:t>：</w:t>
            </w:r>
            <w:r>
              <w:rPr>
                <w:rFonts w:hint="eastAsia" w:ascii="仿宋" w:hAnsi="仿宋" w:eastAsia="仿宋"/>
                <w:lang w:val="en-US" w:eastAsia="zh-CN"/>
              </w:rPr>
              <w:t>&lt;丹参酮IIA衍生物及其在制药中的应用&gt;(ZL200610039929.0、</w:t>
            </w:r>
            <w:r>
              <w:rPr>
                <w:rFonts w:hint="eastAsia" w:ascii="仿宋" w:hAnsi="仿宋" w:eastAsia="仿宋"/>
              </w:rPr>
              <w:t>发明人</w:t>
            </w:r>
            <w:r>
              <w:rPr>
                <w:rFonts w:hint="eastAsia" w:ascii="仿宋" w:hAnsi="仿宋" w:eastAsia="仿宋"/>
                <w:lang w:eastAsia="zh-CN"/>
              </w:rPr>
              <w:t>：秦引林</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cs="Times New Roman"/>
                <w:kern w:val="2"/>
                <w:sz w:val="21"/>
                <w:szCs w:val="24"/>
                <w:lang w:val="en-US" w:eastAsia="zh-CN" w:bidi="ar-SA"/>
              </w:rPr>
            </w:pPr>
            <w:r>
              <w:rPr>
                <w:rFonts w:hint="eastAsia" w:ascii="仿宋" w:hAnsi="仿宋" w:eastAsia="仿宋"/>
              </w:rPr>
              <w:t>专利</w:t>
            </w:r>
            <w:r>
              <w:rPr>
                <w:rFonts w:hint="eastAsia" w:ascii="仿宋" w:hAnsi="仿宋" w:eastAsia="仿宋"/>
                <w:lang w:val="en-US" w:eastAsia="zh-CN"/>
              </w:rPr>
              <w:t>4</w:t>
            </w:r>
            <w:r>
              <w:rPr>
                <w:rFonts w:hint="eastAsia" w:ascii="仿宋" w:hAnsi="仿宋" w:eastAsia="仿宋"/>
              </w:rPr>
              <w:t>：</w:t>
            </w:r>
            <w:r>
              <w:rPr>
                <w:rFonts w:hint="eastAsia" w:ascii="仿宋" w:hAnsi="仿宋" w:eastAsia="仿宋"/>
                <w:lang w:val="en-US" w:eastAsia="zh-CN"/>
              </w:rPr>
              <w:t>&lt;一种丹参酮IIA磺酸钠注射剂及其制备方法&gt;(ZL200610086184.3、</w:t>
            </w:r>
            <w:r>
              <w:rPr>
                <w:rFonts w:hint="eastAsia" w:ascii="仿宋" w:hAnsi="仿宋" w:eastAsia="仿宋"/>
              </w:rPr>
              <w:t>发明人</w:t>
            </w:r>
            <w:r>
              <w:rPr>
                <w:rFonts w:hint="eastAsia" w:ascii="仿宋" w:hAnsi="仿宋" w:eastAsia="仿宋"/>
                <w:lang w:eastAsia="zh-CN"/>
              </w:rPr>
              <w:t>：秦引林</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cs="Times New Roman"/>
                <w:kern w:val="2"/>
                <w:sz w:val="21"/>
                <w:szCs w:val="24"/>
                <w:lang w:val="en-US" w:eastAsia="zh-CN" w:bidi="ar-SA"/>
              </w:rPr>
            </w:pPr>
            <w:r>
              <w:rPr>
                <w:rFonts w:hint="eastAsia" w:ascii="仿宋" w:hAnsi="仿宋" w:eastAsia="仿宋"/>
              </w:rPr>
              <w:t>专利</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&lt;一种丹参酮IIA丙烯酸的精制方法&gt;(ZL200910026836.8、</w:t>
            </w:r>
            <w:r>
              <w:rPr>
                <w:rFonts w:hint="eastAsia" w:ascii="仿宋" w:hAnsi="仿宋" w:eastAsia="仿宋"/>
              </w:rPr>
              <w:t>发明人</w:t>
            </w:r>
            <w:r>
              <w:rPr>
                <w:rFonts w:hint="eastAsia" w:ascii="仿宋" w:hAnsi="仿宋" w:eastAsia="仿宋"/>
                <w:lang w:eastAsia="zh-CN"/>
              </w:rPr>
              <w:t>：秦引林</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6</w:t>
            </w:r>
            <w:r>
              <w:rPr>
                <w:rFonts w:hint="eastAsia" w:ascii="仿宋" w:hAnsi="仿宋" w:eastAsia="仿宋"/>
              </w:rPr>
              <w:t>：</w:t>
            </w:r>
            <w:r>
              <w:rPr>
                <w:rFonts w:hint="eastAsia" w:ascii="仿宋" w:hAnsi="仿宋" w:eastAsia="仿宋"/>
                <w:lang w:val="en-US" w:eastAsia="zh-CN"/>
              </w:rPr>
              <w:t>&lt;羟基丹参酮IIA磺酸钠及其用途&gt;(ZL200610039134.X、</w:t>
            </w:r>
            <w:r>
              <w:rPr>
                <w:rFonts w:hint="eastAsia" w:ascii="仿宋" w:hAnsi="仿宋" w:eastAsia="仿宋"/>
              </w:rPr>
              <w:t>发明人</w:t>
            </w:r>
            <w:r>
              <w:rPr>
                <w:rFonts w:hint="eastAsia" w:ascii="仿宋" w:hAnsi="仿宋" w:eastAsia="仿宋"/>
                <w:lang w:eastAsia="zh-CN"/>
              </w:rPr>
              <w:t>：秦引林</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7</w:t>
            </w:r>
            <w:r>
              <w:rPr>
                <w:rFonts w:hint="eastAsia" w:ascii="仿宋" w:hAnsi="仿宋" w:eastAsia="仿宋"/>
              </w:rPr>
              <w:t>：</w:t>
            </w:r>
            <w:r>
              <w:rPr>
                <w:rFonts w:hint="eastAsia" w:ascii="仿宋" w:hAnsi="仿宋" w:eastAsia="仿宋"/>
                <w:lang w:val="en-US" w:eastAsia="zh-CN"/>
              </w:rPr>
              <w:t>&lt;一种丹参酮IIA磺酸钠的高效液相分析方法&gt;(ZL200510094843.3、</w:t>
            </w:r>
            <w:r>
              <w:rPr>
                <w:rFonts w:hint="eastAsia" w:ascii="仿宋" w:hAnsi="仿宋" w:eastAsia="仿宋"/>
              </w:rPr>
              <w:t>发明人</w:t>
            </w:r>
            <w:r>
              <w:rPr>
                <w:rFonts w:hint="eastAsia" w:ascii="仿宋" w:hAnsi="仿宋" w:eastAsia="仿宋"/>
                <w:lang w:eastAsia="zh-CN"/>
              </w:rPr>
              <w:t>：秦引林、何龙其</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8</w:t>
            </w:r>
            <w:r>
              <w:rPr>
                <w:rFonts w:hint="eastAsia" w:ascii="仿宋" w:hAnsi="仿宋" w:eastAsia="仿宋"/>
              </w:rPr>
              <w:t>：</w:t>
            </w:r>
            <w:r>
              <w:rPr>
                <w:rFonts w:hint="eastAsia" w:ascii="仿宋" w:hAnsi="仿宋" w:eastAsia="仿宋"/>
                <w:lang w:val="en-US" w:eastAsia="zh-CN"/>
              </w:rPr>
              <w:t>&lt;丹参酮IIA丙烯酸或其钠盐及制备方法和应用&gt;(ZL201010519652.8、</w:t>
            </w:r>
            <w:r>
              <w:rPr>
                <w:rFonts w:hint="eastAsia" w:ascii="仿宋" w:hAnsi="仿宋" w:eastAsia="仿宋"/>
              </w:rPr>
              <w:t>发明人</w:t>
            </w:r>
            <w:r>
              <w:rPr>
                <w:rFonts w:hint="eastAsia" w:ascii="仿宋" w:hAnsi="仿宋" w:eastAsia="仿宋"/>
                <w:lang w:eastAsia="zh-CN"/>
              </w:rPr>
              <w:t>：秦引林、夏鹏、张倩、陈瑛</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9</w:t>
            </w:r>
            <w:r>
              <w:rPr>
                <w:rFonts w:hint="eastAsia" w:ascii="仿宋" w:hAnsi="仿宋" w:eastAsia="仿宋"/>
              </w:rPr>
              <w:t>：</w:t>
            </w:r>
            <w:r>
              <w:rPr>
                <w:rFonts w:hint="eastAsia" w:ascii="仿宋" w:hAnsi="仿宋" w:eastAsia="仿宋"/>
                <w:lang w:val="en-US" w:eastAsia="zh-CN"/>
              </w:rPr>
              <w:t>&lt;一类丹参酮IIA衍生物及其在制药中的应用&gt;(ZL200510095006.2、</w:t>
            </w:r>
            <w:r>
              <w:rPr>
                <w:rFonts w:hint="eastAsia" w:ascii="仿宋" w:hAnsi="仿宋" w:eastAsia="仿宋"/>
              </w:rPr>
              <w:t>发明人</w:t>
            </w:r>
            <w:r>
              <w:rPr>
                <w:rFonts w:hint="eastAsia" w:ascii="仿宋" w:hAnsi="仿宋" w:eastAsia="仿宋"/>
                <w:lang w:eastAsia="zh-CN"/>
              </w:rPr>
              <w:t>：秦引林、夏鹏、张倩、陈瑛</w:t>
            </w:r>
            <w:r>
              <w:rPr>
                <w:rFonts w:hint="eastAsia" w:ascii="仿宋" w:hAnsi="仿宋" w:eastAsia="仿宋"/>
                <w:lang w:val="en-US" w:eastAsia="zh-CN"/>
              </w:rPr>
              <w:t>、</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5" w:type="dxa"/>
            <w:vMerge w:val="continue"/>
            <w:noWrap w:val="0"/>
            <w:vAlign w:val="center"/>
          </w:tcPr>
          <w:p>
            <w:pPr>
              <w:adjustRightInd w:val="0"/>
              <w:snapToGrid w:val="0"/>
              <w:jc w:val="center"/>
              <w:rPr>
                <w:rFonts w:hint="eastAsia" w:ascii="仿宋" w:hAnsi="仿宋" w:eastAsia="仿宋"/>
                <w:b/>
                <w:bCs/>
              </w:rPr>
            </w:pPr>
          </w:p>
        </w:tc>
        <w:tc>
          <w:tcPr>
            <w:tcW w:w="7849" w:type="dxa"/>
            <w:noWrap w:val="0"/>
            <w:vAlign w:val="center"/>
          </w:tcPr>
          <w:p>
            <w:pPr>
              <w:adjustRightInd w:val="0"/>
              <w:snapToGrid w:val="0"/>
              <w:rPr>
                <w:rFonts w:hint="eastAsia" w:ascii="仿宋" w:hAnsi="仿宋" w:eastAsia="仿宋"/>
              </w:rPr>
            </w:pPr>
            <w:r>
              <w:rPr>
                <w:rFonts w:hint="eastAsia" w:ascii="仿宋" w:hAnsi="仿宋" w:eastAsia="仿宋"/>
              </w:rPr>
              <w:t>专利</w:t>
            </w:r>
            <w:r>
              <w:rPr>
                <w:rFonts w:hint="eastAsia" w:ascii="仿宋" w:hAnsi="仿宋" w:eastAsia="仿宋"/>
                <w:lang w:val="en-US" w:eastAsia="zh-CN"/>
              </w:rPr>
              <w:t>10</w:t>
            </w:r>
            <w:r>
              <w:rPr>
                <w:rFonts w:hint="eastAsia" w:ascii="仿宋" w:hAnsi="仿宋" w:eastAsia="仿宋"/>
              </w:rPr>
              <w:t>：</w:t>
            </w:r>
            <w:r>
              <w:rPr>
                <w:rFonts w:hint="eastAsia" w:ascii="仿宋" w:hAnsi="仿宋" w:eastAsia="仿宋"/>
                <w:lang w:val="en-US" w:eastAsia="zh-CN"/>
              </w:rPr>
              <w:t>&lt;一种丹参酮IIA丙烯酸盐的液相色谱分析方法&gt;(ZL200910181568.7、</w:t>
            </w:r>
            <w:r>
              <w:rPr>
                <w:rFonts w:hint="eastAsia" w:ascii="仿宋" w:hAnsi="仿宋" w:eastAsia="仿宋"/>
              </w:rPr>
              <w:t>发明人</w:t>
            </w:r>
            <w:r>
              <w:rPr>
                <w:rFonts w:hint="eastAsia" w:ascii="仿宋" w:hAnsi="仿宋" w:eastAsia="仿宋"/>
                <w:lang w:eastAsia="zh-CN"/>
              </w:rPr>
              <w:t>：秦引林</w:t>
            </w:r>
            <w:r>
              <w:rPr>
                <w:rFonts w:hint="eastAsia" w:ascii="仿宋" w:hAnsi="仿宋" w:eastAsia="仿宋"/>
                <w:lang w:val="en-US" w:eastAsia="zh-CN"/>
              </w:rPr>
              <w:t>、葛慧、</w:t>
            </w:r>
            <w:r>
              <w:rPr>
                <w:rFonts w:hint="eastAsia" w:ascii="仿宋" w:hAnsi="仿宋" w:eastAsia="仿宋"/>
              </w:rPr>
              <w:t>权利人</w:t>
            </w:r>
            <w:r>
              <w:rPr>
                <w:rFonts w:hint="eastAsia" w:ascii="仿宋" w:hAnsi="仿宋" w:eastAsia="仿宋"/>
                <w:lang w:eastAsia="zh-CN"/>
              </w:rPr>
              <w:t>：秦引林</w:t>
            </w:r>
            <w:r>
              <w:rPr>
                <w:rFonts w:hint="eastAsia" w:ascii="仿宋" w:hAnsi="仿宋" w:eastAsia="仿宋"/>
                <w:lang w:val="en-US" w:eastAsia="zh-CN"/>
              </w:rPr>
              <w:t>)</w:t>
            </w:r>
          </w:p>
        </w:tc>
      </w:tr>
    </w:tbl>
    <w:p>
      <w:pPr>
        <w:tabs>
          <w:tab w:val="left" w:pos="425"/>
        </w:tabs>
        <w:autoSpaceDE w:val="0"/>
        <w:autoSpaceDN w:val="0"/>
        <w:adjustRightInd w:val="0"/>
        <w:snapToGrid w:val="0"/>
        <w:spacing w:line="360" w:lineRule="auto"/>
        <w:ind w:firstLine="480" w:firstLineChars="200"/>
        <w:jc w:val="left"/>
        <w:rPr>
          <w:rFonts w:ascii="仿宋" w:hAnsi="仿宋" w:eastAsia="仿宋"/>
          <w:sz w:val="24"/>
        </w:rPr>
        <w:sectPr>
          <w:footerReference r:id="rId3" w:type="default"/>
          <w:pgSz w:w="11906" w:h="16838"/>
          <w:pgMar w:top="1985" w:right="1134" w:bottom="1440" w:left="1701" w:header="851" w:footer="992" w:gutter="0"/>
          <w:pgNumType w:fmt="numberInDash"/>
          <w:cols w:space="72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- 2 -</w:t>
                          </w:r>
                          <w:r>
                            <w:rPr>
                              <w:rFonts w:hint="eastAsia" w:ascii="宋体" w:hAnsi="宋体" w:cs="宋体"/>
                              <w:sz w:val="28"/>
                              <w:szCs w:val="28"/>
                            </w:rPr>
                            <w:fldChar w:fldCharType="end"/>
                          </w:r>
                        </w:p>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3"/>
                      <w:rPr>
                        <w:rStyle w:val="6"/>
                        <w:rFonts w:hint="eastAsia" w:ascii="宋体" w:hAnsi="宋体" w:cs="宋体"/>
                        <w:sz w:val="28"/>
                        <w:szCs w:val="28"/>
                      </w:rPr>
                    </w:pPr>
                    <w:r>
                      <w:rPr>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6"/>
                        <w:rFonts w:ascii="宋体" w:hAnsi="宋体" w:cs="宋体"/>
                        <w:sz w:val="28"/>
                        <w:szCs w:val="28"/>
                      </w:rPr>
                      <w:t>- 2 -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57C"/>
    <w:multiLevelType w:val="singleLevel"/>
    <w:tmpl w:val="01A8357C"/>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43E38"/>
    <w:rsid w:val="00CF564D"/>
    <w:rsid w:val="03F509F2"/>
    <w:rsid w:val="12FF64E7"/>
    <w:rsid w:val="14200C3D"/>
    <w:rsid w:val="369A2964"/>
    <w:rsid w:val="37343E38"/>
    <w:rsid w:val="39065086"/>
    <w:rsid w:val="3D271EE1"/>
    <w:rsid w:val="3EEB27F0"/>
    <w:rsid w:val="42731187"/>
    <w:rsid w:val="438E00E5"/>
    <w:rsid w:val="4E070BD0"/>
    <w:rsid w:val="55840738"/>
    <w:rsid w:val="5703433E"/>
    <w:rsid w:val="5BB12F5B"/>
    <w:rsid w:val="5E7A0FF9"/>
    <w:rsid w:val="5EF606BF"/>
    <w:rsid w:val="68EF1698"/>
    <w:rsid w:val="6D363A83"/>
    <w:rsid w:val="6E551B2C"/>
    <w:rsid w:val="6E680090"/>
    <w:rsid w:val="735E588F"/>
    <w:rsid w:val="7F425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eastAsia="仿宋_GB2312"/>
      <w:kern w:val="0"/>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kern w:val="0"/>
      <w:sz w:val="18"/>
      <w:szCs w:val="18"/>
    </w:rPr>
  </w:style>
  <w:style w:type="character" w:styleId="6">
    <w:name w:val="page number"/>
    <w:basedOn w:val="5"/>
    <w:qFormat/>
    <w:uiPriority w:val="0"/>
  </w:style>
  <w:style w:type="character" w:styleId="7">
    <w:name w:val="FollowedHyperlink"/>
    <w:basedOn w:val="5"/>
    <w:qFormat/>
    <w:uiPriority w:val="0"/>
    <w:rPr>
      <w:color w:val="800080"/>
      <w:u w:val="none"/>
    </w:rPr>
  </w:style>
  <w:style w:type="character" w:styleId="8">
    <w:name w:val="Emphasis"/>
    <w:basedOn w:val="5"/>
    <w:qFormat/>
    <w:uiPriority w:val="0"/>
  </w:style>
  <w:style w:type="character" w:styleId="9">
    <w:name w:val="Hyperlink"/>
    <w:basedOn w:val="5"/>
    <w:qFormat/>
    <w:uiPriority w:val="0"/>
    <w:rPr>
      <w:color w:val="0000FF"/>
      <w:u w:val="single"/>
    </w:rPr>
  </w:style>
  <w:style w:type="character" w:customStyle="1" w:styleId="10">
    <w:name w:val="bg"/>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2020-07-09T06:57:00Z</dcterms:created>
  <dc:creator>MaoshengChen</dc:creator>
  <cp:lastModifiedBy>MaoshengChen</cp:lastModifiedBy>
  <cp:lastPrinted>2020-07-30T00:59:00Z</cp:lastPrinted>
  <dcterms:modified xsi:type="dcterms:W3CDTF">2020-08-11T02:17:58Z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