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C39" w:rsidRDefault="00C71C39" w:rsidP="00C71C39">
      <w:pPr>
        <w:pStyle w:val="1"/>
        <w:rPr>
          <w:rFonts w:ascii="宋体" w:eastAsia="宋体" w:hAnsi="宋体" w:cs="宋体"/>
          <w:b/>
          <w:bCs/>
          <w:sz w:val="36"/>
          <w:szCs w:val="36"/>
        </w:rPr>
      </w:pPr>
      <w:r>
        <w:rPr>
          <w:rFonts w:ascii="宋体" w:eastAsia="宋体" w:hAnsi="宋体" w:cs="宋体" w:hint="eastAsia"/>
          <w:b/>
          <w:bCs/>
          <w:sz w:val="36"/>
          <w:szCs w:val="36"/>
        </w:rPr>
        <w:t>2019年度广东省科学技术奖公示表</w:t>
      </w:r>
    </w:p>
    <w:p w:rsidR="00C71C39" w:rsidRDefault="00C71C39" w:rsidP="00C71C39">
      <w:pPr>
        <w:pStyle w:val="1"/>
        <w:rPr>
          <w:rFonts w:ascii="宋体" w:eastAsia="宋体" w:hAnsi="宋体" w:cs="宋体"/>
          <w:b/>
          <w:bCs/>
          <w:sz w:val="36"/>
          <w:szCs w:val="36"/>
        </w:rPr>
      </w:pPr>
      <w:r>
        <w:rPr>
          <w:rFonts w:ascii="宋体" w:eastAsia="宋体" w:hAnsi="宋体" w:cs="宋体" w:hint="eastAsia"/>
          <w:b/>
          <w:bCs/>
          <w:sz w:val="36"/>
          <w:szCs w:val="36"/>
        </w:rPr>
        <w:t>（科技进步奖式）</w:t>
      </w:r>
    </w:p>
    <w:p w:rsidR="00C71C39" w:rsidRDefault="00C71C39" w:rsidP="00C71C3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5"/>
        <w:gridCol w:w="7849"/>
      </w:tblGrid>
      <w:tr w:rsidR="00C71C39" w:rsidTr="008C60BC">
        <w:trPr>
          <w:trHeight w:val="397"/>
          <w:jc w:val="center"/>
        </w:trPr>
        <w:tc>
          <w:tcPr>
            <w:tcW w:w="1615" w:type="dxa"/>
            <w:vAlign w:val="center"/>
          </w:tcPr>
          <w:p w:rsidR="00C71C39" w:rsidRDefault="00C71C39" w:rsidP="008C60BC">
            <w:pPr>
              <w:adjustRightInd w:val="0"/>
              <w:snapToGrid w:val="0"/>
              <w:jc w:val="center"/>
              <w:rPr>
                <w:rFonts w:ascii="仿宋" w:eastAsia="仿宋" w:hAnsi="仿宋"/>
                <w:b/>
                <w:bCs/>
              </w:rPr>
            </w:pPr>
            <w:r>
              <w:rPr>
                <w:rFonts w:ascii="仿宋" w:eastAsia="仿宋" w:hAnsi="仿宋" w:hint="eastAsia"/>
                <w:b/>
                <w:bCs/>
              </w:rPr>
              <w:t>项目名称</w:t>
            </w:r>
          </w:p>
        </w:tc>
        <w:tc>
          <w:tcPr>
            <w:tcW w:w="7849" w:type="dxa"/>
            <w:vAlign w:val="center"/>
          </w:tcPr>
          <w:p w:rsidR="00C71C39" w:rsidRDefault="00C71C39" w:rsidP="008C60BC">
            <w:pPr>
              <w:spacing w:line="360" w:lineRule="auto"/>
              <w:jc w:val="left"/>
              <w:rPr>
                <w:rFonts w:ascii="仿宋" w:eastAsia="仿宋" w:hAnsi="仿宋"/>
                <w:b/>
                <w:bCs/>
              </w:rPr>
            </w:pPr>
            <w:r w:rsidRPr="00EE6E22">
              <w:rPr>
                <w:rFonts w:ascii="仿宋" w:eastAsia="仿宋" w:hAnsi="仿宋" w:hint="eastAsia"/>
              </w:rPr>
              <w:t>重大慢病中西医结合精准诊疗关键技术创新与应用</w:t>
            </w:r>
          </w:p>
        </w:tc>
      </w:tr>
      <w:tr w:rsidR="00C71C39" w:rsidTr="008C60BC">
        <w:trPr>
          <w:trHeight w:val="397"/>
          <w:jc w:val="center"/>
        </w:trPr>
        <w:tc>
          <w:tcPr>
            <w:tcW w:w="1615" w:type="dxa"/>
            <w:vMerge w:val="restart"/>
            <w:vAlign w:val="center"/>
          </w:tcPr>
          <w:p w:rsidR="00C71C39" w:rsidRDefault="00C71C39" w:rsidP="008C60BC">
            <w:pPr>
              <w:snapToGrid w:val="0"/>
              <w:jc w:val="center"/>
              <w:rPr>
                <w:rFonts w:ascii="仿宋" w:eastAsia="仿宋" w:hAnsi="仿宋"/>
              </w:rPr>
            </w:pPr>
            <w:r>
              <w:rPr>
                <w:rFonts w:ascii="仿宋" w:eastAsia="仿宋" w:hAnsi="仿宋" w:hint="eastAsia"/>
                <w:b/>
                <w:bCs/>
              </w:rPr>
              <w:t>主要完成单位</w:t>
            </w:r>
          </w:p>
        </w:tc>
        <w:tc>
          <w:tcPr>
            <w:tcW w:w="7849" w:type="dxa"/>
            <w:vAlign w:val="center"/>
          </w:tcPr>
          <w:p w:rsidR="00C71C39" w:rsidRDefault="00C71C39" w:rsidP="008C60BC">
            <w:pPr>
              <w:spacing w:line="360" w:lineRule="auto"/>
              <w:rPr>
                <w:rFonts w:ascii="仿宋" w:eastAsia="仿宋" w:hAnsi="仿宋"/>
              </w:rPr>
            </w:pPr>
            <w:r>
              <w:rPr>
                <w:rFonts w:ascii="仿宋" w:eastAsia="仿宋" w:hAnsi="仿宋" w:hint="eastAsia"/>
              </w:rPr>
              <w:t>深圳市第二人民医院</w:t>
            </w:r>
          </w:p>
        </w:tc>
      </w:tr>
      <w:tr w:rsidR="00C71C39" w:rsidTr="008C60BC">
        <w:trPr>
          <w:trHeight w:val="397"/>
          <w:jc w:val="center"/>
        </w:trPr>
        <w:tc>
          <w:tcPr>
            <w:tcW w:w="1615" w:type="dxa"/>
            <w:vMerge/>
            <w:vAlign w:val="center"/>
          </w:tcPr>
          <w:p w:rsidR="00C71C39" w:rsidRDefault="00C71C39" w:rsidP="008C60BC">
            <w:pPr>
              <w:spacing w:line="360" w:lineRule="auto"/>
              <w:jc w:val="center"/>
              <w:rPr>
                <w:rFonts w:ascii="仿宋" w:eastAsia="仿宋" w:hAnsi="仿宋"/>
                <w:b/>
                <w:bCs/>
              </w:rPr>
            </w:pPr>
          </w:p>
        </w:tc>
        <w:tc>
          <w:tcPr>
            <w:tcW w:w="7849" w:type="dxa"/>
            <w:vAlign w:val="center"/>
          </w:tcPr>
          <w:p w:rsidR="00C71C39" w:rsidRDefault="00C71C39" w:rsidP="008C60BC">
            <w:pPr>
              <w:spacing w:line="360" w:lineRule="auto"/>
              <w:rPr>
                <w:rFonts w:ascii="仿宋" w:eastAsia="仿宋" w:hAnsi="仿宋" w:cs="宋体"/>
              </w:rPr>
            </w:pPr>
            <w:r>
              <w:rPr>
                <w:rFonts w:ascii="仿宋" w:eastAsia="仿宋" w:hAnsi="仿宋" w:hint="eastAsia"/>
              </w:rPr>
              <w:t>深圳市老年医学研究所</w:t>
            </w:r>
          </w:p>
        </w:tc>
      </w:tr>
      <w:tr w:rsidR="00C71C39" w:rsidTr="008C60BC">
        <w:trPr>
          <w:trHeight w:val="397"/>
          <w:jc w:val="center"/>
        </w:trPr>
        <w:tc>
          <w:tcPr>
            <w:tcW w:w="1615" w:type="dxa"/>
            <w:vMerge/>
            <w:vAlign w:val="center"/>
          </w:tcPr>
          <w:p w:rsidR="00C71C39" w:rsidRDefault="00C71C39" w:rsidP="008C60BC">
            <w:pPr>
              <w:spacing w:line="360" w:lineRule="auto"/>
              <w:jc w:val="center"/>
              <w:rPr>
                <w:rFonts w:ascii="仿宋" w:eastAsia="仿宋" w:hAnsi="仿宋"/>
                <w:b/>
                <w:bCs/>
              </w:rPr>
            </w:pPr>
          </w:p>
        </w:tc>
        <w:tc>
          <w:tcPr>
            <w:tcW w:w="7849" w:type="dxa"/>
            <w:vAlign w:val="center"/>
          </w:tcPr>
          <w:p w:rsidR="00C71C39" w:rsidRDefault="00C71C39" w:rsidP="008C60BC">
            <w:pPr>
              <w:spacing w:line="360" w:lineRule="auto"/>
              <w:rPr>
                <w:rFonts w:ascii="仿宋" w:eastAsia="仿宋" w:hAnsi="仿宋"/>
              </w:rPr>
            </w:pPr>
            <w:r>
              <w:rPr>
                <w:rFonts w:ascii="仿宋" w:eastAsia="仿宋" w:hAnsi="仿宋" w:hint="eastAsia"/>
              </w:rPr>
              <w:t>深圳大学</w:t>
            </w:r>
          </w:p>
        </w:tc>
      </w:tr>
      <w:tr w:rsidR="00C71C39" w:rsidTr="008C60BC">
        <w:trPr>
          <w:trHeight w:val="397"/>
          <w:jc w:val="center"/>
        </w:trPr>
        <w:tc>
          <w:tcPr>
            <w:tcW w:w="1615" w:type="dxa"/>
            <w:vMerge w:val="restart"/>
            <w:vAlign w:val="center"/>
          </w:tcPr>
          <w:p w:rsidR="00C71C39" w:rsidRDefault="00C71C39" w:rsidP="008C60BC">
            <w:pPr>
              <w:adjustRightInd w:val="0"/>
              <w:snapToGrid w:val="0"/>
              <w:jc w:val="center"/>
              <w:rPr>
                <w:rFonts w:ascii="仿宋" w:eastAsia="仿宋" w:hAnsi="仿宋"/>
                <w:b/>
                <w:bCs/>
              </w:rPr>
            </w:pPr>
            <w:r>
              <w:rPr>
                <w:rFonts w:ascii="仿宋" w:eastAsia="仿宋" w:hAnsi="仿宋" w:hint="eastAsia"/>
                <w:b/>
                <w:bCs/>
              </w:rPr>
              <w:t>主要完成人</w:t>
            </w:r>
          </w:p>
          <w:p w:rsidR="00C71C39" w:rsidRDefault="00C71C39" w:rsidP="008C60BC">
            <w:pPr>
              <w:adjustRightInd w:val="0"/>
              <w:snapToGrid w:val="0"/>
              <w:jc w:val="center"/>
              <w:rPr>
                <w:rFonts w:ascii="仿宋" w:eastAsia="仿宋" w:hAnsi="仿宋"/>
              </w:rPr>
            </w:pPr>
            <w:r>
              <w:rPr>
                <w:rFonts w:ascii="仿宋" w:eastAsia="仿宋" w:hAnsi="仿宋" w:hint="eastAsia"/>
                <w:b/>
                <w:bCs/>
              </w:rPr>
              <w:t>（职称、完成单位、工作单位）</w:t>
            </w:r>
          </w:p>
        </w:tc>
        <w:tc>
          <w:tcPr>
            <w:tcW w:w="7849" w:type="dxa"/>
            <w:vAlign w:val="center"/>
          </w:tcPr>
          <w:p w:rsidR="00C71C39" w:rsidRDefault="00C71C39" w:rsidP="008C60BC">
            <w:pPr>
              <w:adjustRightInd w:val="0"/>
              <w:snapToGrid w:val="0"/>
              <w:rPr>
                <w:rFonts w:ascii="仿宋" w:eastAsia="仿宋" w:hAnsi="仿宋"/>
              </w:rPr>
            </w:pPr>
            <w:r>
              <w:rPr>
                <w:rFonts w:ascii="仿宋" w:eastAsia="仿宋" w:hAnsi="仿宋" w:hint="eastAsia"/>
              </w:rPr>
              <w:t>1.吴正治（研究员；工作单位：深圳市第二人民医院；完成单位：深圳市第二人民医院；主要贡献：项目负责人，</w:t>
            </w:r>
            <w:r w:rsidRPr="00BB14D1">
              <w:rPr>
                <w:rFonts w:ascii="仿宋" w:eastAsia="仿宋" w:hAnsi="仿宋" w:hint="eastAsia"/>
              </w:rPr>
              <w:t>全面主持项目实施与结果分析总结；率先开展</w:t>
            </w:r>
            <w:r w:rsidRPr="00AE5491">
              <w:rPr>
                <w:rFonts w:ascii="仿宋" w:eastAsia="仿宋" w:hAnsi="仿宋" w:hint="eastAsia"/>
              </w:rPr>
              <w:t>重大慢病中西医结合精准诊疗关键技术创新与应用</w:t>
            </w:r>
            <w:r w:rsidRPr="00BB14D1">
              <w:rPr>
                <w:rFonts w:ascii="仿宋" w:eastAsia="仿宋" w:hAnsi="仿宋" w:hint="eastAsia"/>
              </w:rPr>
              <w:t>，取得了系列原创性研究成果</w:t>
            </w:r>
            <w:r>
              <w:rPr>
                <w:rFonts w:ascii="仿宋" w:eastAsia="仿宋" w:hAnsi="仿宋" w:hint="eastAsia"/>
              </w:rPr>
              <w:t>。）</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8C60BC">
            <w:pPr>
              <w:adjustRightInd w:val="0"/>
              <w:snapToGrid w:val="0"/>
              <w:rPr>
                <w:rFonts w:ascii="仿宋" w:eastAsia="仿宋" w:hAnsi="仿宋"/>
              </w:rPr>
            </w:pPr>
            <w:r>
              <w:rPr>
                <w:rFonts w:ascii="仿宋" w:eastAsia="仿宋" w:hAnsi="仿宋" w:hint="eastAsia"/>
              </w:rPr>
              <w:t>2.谢妮（研究员；工作单位：深圳市第二人民医院；完成单位：深圳市第二人民医院；主要贡献：主要</w:t>
            </w:r>
            <w:r w:rsidRPr="002139EB">
              <w:rPr>
                <w:rFonts w:ascii="仿宋" w:eastAsia="仿宋" w:hAnsi="仿宋" w:hint="eastAsia"/>
              </w:rPr>
              <w:t>承担任</w:t>
            </w:r>
            <w:r>
              <w:rPr>
                <w:rFonts w:ascii="仿宋" w:eastAsia="仿宋" w:hAnsi="仿宋" w:hint="eastAsia"/>
              </w:rPr>
              <w:t>分子诊断与靶向干预研究，完成</w:t>
            </w:r>
            <w:r w:rsidRPr="002139EB">
              <w:rPr>
                <w:rFonts w:ascii="仿宋" w:eastAsia="仿宋" w:hAnsi="仿宋" w:hint="eastAsia"/>
              </w:rPr>
              <w:t>使用逆转录病毒介导的RNA干扰靶向</w:t>
            </w:r>
            <w:r w:rsidR="00D078BF">
              <w:rPr>
                <w:rFonts w:ascii="仿宋" w:eastAsia="仿宋" w:hAnsi="仿宋" w:hint="eastAsia"/>
              </w:rPr>
              <w:t>BCRP/</w:t>
            </w:r>
            <w:r w:rsidRPr="002139EB">
              <w:rPr>
                <w:rFonts w:ascii="仿宋" w:eastAsia="仿宋" w:hAnsi="仿宋" w:hint="eastAsia"/>
              </w:rPr>
              <w:t>ABCG2调控耐药性的研究</w:t>
            </w:r>
            <w:r>
              <w:rPr>
                <w:rFonts w:ascii="仿宋" w:eastAsia="仿宋" w:hAnsi="仿宋" w:hint="eastAsia"/>
              </w:rPr>
              <w:t>。）</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8C60BC">
            <w:pPr>
              <w:adjustRightInd w:val="0"/>
              <w:snapToGrid w:val="0"/>
              <w:jc w:val="left"/>
              <w:rPr>
                <w:rFonts w:ascii="仿宋" w:eastAsia="仿宋" w:hAnsi="仿宋"/>
              </w:rPr>
            </w:pPr>
            <w:r>
              <w:rPr>
                <w:rFonts w:ascii="仿宋" w:eastAsia="仿宋" w:hAnsi="仿宋" w:hint="eastAsia"/>
              </w:rPr>
              <w:t>3.曹美群（副研究员；工作单位：深圳市老年医学研究所；完成单位：深圳市老年医学研究所；主要贡献：主要承担</w:t>
            </w:r>
            <w:r w:rsidRPr="008403A8">
              <w:rPr>
                <w:rFonts w:ascii="仿宋" w:eastAsia="仿宋" w:hAnsi="仿宋" w:hint="eastAsia"/>
              </w:rPr>
              <w:t>病证结合分子诊断研究</w:t>
            </w:r>
            <w:r>
              <w:rPr>
                <w:rFonts w:ascii="仿宋" w:eastAsia="仿宋" w:hAnsi="仿宋" w:hint="eastAsia"/>
              </w:rPr>
              <w:t>，完成了</w:t>
            </w:r>
            <w:r w:rsidRPr="008403A8">
              <w:rPr>
                <w:rFonts w:ascii="仿宋" w:eastAsia="仿宋" w:hAnsi="仿宋" w:hint="eastAsia"/>
              </w:rPr>
              <w:t>基于唾液蛋白质组的乳腺癌病证结合分子诊断研究</w:t>
            </w:r>
            <w:r>
              <w:rPr>
                <w:rFonts w:ascii="仿宋" w:eastAsia="仿宋" w:hAnsi="仿宋" w:hint="eastAsia"/>
              </w:rPr>
              <w:t>部分。）</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505F19" w:rsidP="008C60BC">
            <w:pPr>
              <w:adjustRightInd w:val="0"/>
              <w:snapToGrid w:val="0"/>
              <w:jc w:val="left"/>
              <w:rPr>
                <w:rFonts w:ascii="仿宋" w:eastAsia="仿宋" w:hAnsi="仿宋"/>
              </w:rPr>
            </w:pPr>
            <w:r>
              <w:rPr>
                <w:rFonts w:ascii="仿宋" w:eastAsia="仿宋" w:hAnsi="仿宋" w:hint="eastAsia"/>
              </w:rPr>
              <w:t>4.</w:t>
            </w:r>
            <w:r w:rsidR="00C71C39" w:rsidRPr="000C2435">
              <w:rPr>
                <w:rFonts w:ascii="仿宋" w:eastAsia="仿宋" w:hAnsi="仿宋" w:hint="eastAsia"/>
              </w:rPr>
              <w:t>郑多</w:t>
            </w:r>
            <w:r w:rsidR="00C71C39">
              <w:rPr>
                <w:rFonts w:ascii="仿宋" w:eastAsia="仿宋" w:hAnsi="仿宋" w:hint="eastAsia"/>
              </w:rPr>
              <w:t>（教授；工作单位：深圳大学；完成单位：深圳大学；主要贡献：主要承担</w:t>
            </w:r>
            <w:r w:rsidR="00C71C39" w:rsidRPr="00C568C4">
              <w:rPr>
                <w:rFonts w:ascii="仿宋" w:eastAsia="仿宋" w:hAnsi="仿宋" w:hint="eastAsia"/>
              </w:rPr>
              <w:t>生物标志物及干预新</w:t>
            </w:r>
            <w:r w:rsidR="00C71C39" w:rsidRPr="007125B7">
              <w:rPr>
                <w:rFonts w:ascii="仿宋" w:eastAsia="仿宋" w:hAnsi="仿宋" w:hint="eastAsia"/>
              </w:rPr>
              <w:t>靶点研究，完成了</w:t>
            </w:r>
            <w:r w:rsidR="00C71C39" w:rsidRPr="007125B7">
              <w:rPr>
                <w:rFonts w:ascii="仿宋" w:eastAsia="仿宋" w:hAnsi="仿宋"/>
              </w:rPr>
              <w:t>胃癌发病的关键microRNA研究</w:t>
            </w:r>
            <w:r w:rsidR="00C71C39">
              <w:rPr>
                <w:rFonts w:ascii="仿宋" w:eastAsia="仿宋" w:hAnsi="仿宋" w:hint="eastAsia"/>
              </w:rPr>
              <w:t>和</w:t>
            </w:r>
            <w:r w:rsidR="00C71C39" w:rsidRPr="007125B7">
              <w:rPr>
                <w:rFonts w:ascii="仿宋" w:eastAsia="仿宋" w:hAnsi="仿宋"/>
              </w:rPr>
              <w:t>一种新的主动免疫治疗剂TLR7激动剂的合成及其治疗T细胞淋巴瘤的作用研究</w:t>
            </w:r>
            <w:r w:rsidR="00C71C39" w:rsidRPr="007125B7">
              <w:rPr>
                <w:rFonts w:ascii="仿宋" w:eastAsia="仿宋" w:hAnsi="仿宋" w:hint="eastAsia"/>
              </w:rPr>
              <w:t>部分。）</w:t>
            </w:r>
          </w:p>
        </w:tc>
      </w:tr>
      <w:tr w:rsidR="00C71C39" w:rsidTr="008C60BC">
        <w:trPr>
          <w:trHeight w:val="1093"/>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505F19" w:rsidP="008C60BC">
            <w:pPr>
              <w:adjustRightInd w:val="0"/>
              <w:snapToGrid w:val="0"/>
              <w:jc w:val="left"/>
              <w:rPr>
                <w:rFonts w:ascii="仿宋" w:eastAsia="仿宋" w:hAnsi="仿宋"/>
              </w:rPr>
            </w:pPr>
            <w:r>
              <w:rPr>
                <w:rFonts w:ascii="仿宋" w:eastAsia="仿宋" w:hAnsi="仿宋" w:hint="eastAsia"/>
              </w:rPr>
              <w:t>5.</w:t>
            </w:r>
            <w:r w:rsidR="00C71C39">
              <w:rPr>
                <w:rFonts w:ascii="仿宋" w:eastAsia="仿宋" w:hAnsi="仿宋" w:hint="eastAsia"/>
              </w:rPr>
              <w:t>许蕴（教授级高级工程师；工作单位：深圳市第二人民医院；完成单位：深圳市第二人民医院；主要贡献：主要承担研究急性白血病蛋白质组指纹标签并构建了其蛋白指纹谱诊断模型，建立了急性早幼粒细胞白血病、急性病粒细胞髓系白血病，急性单核细胞髓系白血病、急性淋巴细胞白血病的蛋白指纹分类鉴别和预测模型。）</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8C60BC">
            <w:pPr>
              <w:adjustRightInd w:val="0"/>
              <w:snapToGrid w:val="0"/>
              <w:jc w:val="left"/>
              <w:rPr>
                <w:rFonts w:ascii="仿宋" w:eastAsia="仿宋" w:hAnsi="仿宋"/>
              </w:rPr>
            </w:pPr>
            <w:r>
              <w:rPr>
                <w:rFonts w:ascii="仿宋" w:eastAsia="仿宋" w:hAnsi="仿宋" w:hint="eastAsia"/>
              </w:rPr>
              <w:t>6.罗勇（研究员；工作单位：深圳市老年医学研究所；完成单位：深圳市老年医学研究所；主要贡献：主要承担重大慢病多功能器官芯片研究，完成了基于微流控芯片技术创新构建多种具有使细胞及组织在体外共存的类器官多功能芯片研究部分。）</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D078BF">
            <w:pPr>
              <w:adjustRightInd w:val="0"/>
              <w:snapToGrid w:val="0"/>
              <w:jc w:val="left"/>
              <w:rPr>
                <w:rFonts w:ascii="仿宋" w:eastAsia="仿宋" w:hAnsi="仿宋"/>
              </w:rPr>
            </w:pPr>
            <w:r>
              <w:rPr>
                <w:rFonts w:ascii="仿宋" w:eastAsia="仿宋" w:hAnsi="仿宋" w:hint="eastAsia"/>
              </w:rPr>
              <w:t>7.</w:t>
            </w:r>
            <w:r w:rsidR="00D078BF" w:rsidRPr="000C2435">
              <w:rPr>
                <w:rFonts w:ascii="仿宋" w:eastAsia="仿宋" w:hAnsi="仿宋" w:hint="eastAsia"/>
              </w:rPr>
              <w:t>王林</w:t>
            </w:r>
            <w:r w:rsidR="00D078BF">
              <w:rPr>
                <w:rFonts w:ascii="仿宋" w:eastAsia="仿宋" w:hAnsi="仿宋" w:hint="eastAsia"/>
              </w:rPr>
              <w:t>（</w:t>
            </w:r>
            <w:r w:rsidR="00D078BF" w:rsidRPr="00FE0F99">
              <w:rPr>
                <w:rFonts w:ascii="仿宋" w:eastAsia="仿宋" w:hAnsi="仿宋" w:hint="eastAsia"/>
              </w:rPr>
              <w:t>助</w:t>
            </w:r>
            <w:r w:rsidR="00D078BF" w:rsidRPr="007125B7">
              <w:rPr>
                <w:rFonts w:ascii="仿宋" w:eastAsia="仿宋" w:hAnsi="仿宋" w:hint="eastAsia"/>
              </w:rPr>
              <w:t>理研究员；工作单位：深圳市老年医学研究所；完成单位：深圳市老年医学研究所；主要贡献：主要承担靶向精准干预技术研究部分，完成了纳米羟基磷灰石-聚醚醚酮生物复合骨替代材料的研究部分，系统开展脑靶向抗AD中药活性成分雷公藤甲素隐形纳米脂质体载药体系研究,成功研制出隐形化脑靶向雷公藤甲素纳米脂质体体系）</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D078BF">
            <w:pPr>
              <w:adjustRightInd w:val="0"/>
              <w:snapToGrid w:val="0"/>
              <w:jc w:val="left"/>
              <w:rPr>
                <w:rFonts w:ascii="仿宋" w:eastAsia="仿宋" w:hAnsi="仿宋"/>
              </w:rPr>
            </w:pPr>
            <w:r>
              <w:rPr>
                <w:rFonts w:ascii="仿宋" w:eastAsia="仿宋" w:hAnsi="仿宋" w:hint="eastAsia"/>
              </w:rPr>
              <w:t>8.</w:t>
            </w:r>
            <w:r w:rsidR="00D078BF" w:rsidRPr="000C2435">
              <w:rPr>
                <w:rFonts w:ascii="仿宋" w:eastAsia="仿宋" w:hAnsi="仿宋" w:hint="eastAsia"/>
              </w:rPr>
              <w:t>孙珂焕</w:t>
            </w:r>
            <w:r w:rsidR="00D078BF">
              <w:rPr>
                <w:rFonts w:ascii="仿宋" w:eastAsia="仿宋" w:hAnsi="仿宋" w:hint="eastAsia"/>
              </w:rPr>
              <w:t>（</w:t>
            </w:r>
            <w:r w:rsidR="00D078BF" w:rsidRPr="00FE0F99">
              <w:rPr>
                <w:rFonts w:ascii="仿宋" w:eastAsia="仿宋" w:hAnsi="仿宋" w:hint="eastAsia"/>
              </w:rPr>
              <w:t>助理研究员</w:t>
            </w:r>
            <w:r w:rsidR="00D078BF">
              <w:rPr>
                <w:rFonts w:ascii="仿宋" w:eastAsia="仿宋" w:hAnsi="仿宋" w:hint="eastAsia"/>
              </w:rPr>
              <w:t>；工作单位：深圳市老年医学研究所；完成单位：深圳市老年医学研究所；主要贡献：主要承担</w:t>
            </w:r>
            <w:r w:rsidR="00D078BF" w:rsidRPr="008403A8">
              <w:rPr>
                <w:rFonts w:ascii="仿宋" w:eastAsia="仿宋" w:hAnsi="仿宋" w:hint="eastAsia"/>
              </w:rPr>
              <w:t>病证结合分子诊断研究</w:t>
            </w:r>
            <w:r w:rsidR="00D078BF">
              <w:rPr>
                <w:rFonts w:ascii="仿宋" w:eastAsia="仿宋" w:hAnsi="仿宋" w:hint="eastAsia"/>
              </w:rPr>
              <w:t>部分，</w:t>
            </w:r>
            <w:r w:rsidR="00D078BF" w:rsidRPr="00095508">
              <w:rPr>
                <w:rFonts w:ascii="仿宋" w:eastAsia="仿宋" w:hAnsi="仿宋" w:hint="eastAsia"/>
              </w:rPr>
              <w:t>首次揭示了甲状腺癌及中医证候的唾液蛋白指纹图谱特征。</w:t>
            </w:r>
            <w:r w:rsidR="00D078BF">
              <w:rPr>
                <w:rFonts w:ascii="仿宋" w:eastAsia="仿宋" w:hAnsi="仿宋" w:hint="eastAsia"/>
              </w:rPr>
              <w:t>）</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5548A2">
            <w:pPr>
              <w:adjustRightInd w:val="0"/>
              <w:snapToGrid w:val="0"/>
              <w:jc w:val="left"/>
              <w:rPr>
                <w:rFonts w:ascii="仿宋" w:eastAsia="仿宋" w:hAnsi="仿宋"/>
              </w:rPr>
            </w:pPr>
            <w:r>
              <w:rPr>
                <w:rFonts w:ascii="仿宋" w:eastAsia="仿宋" w:hAnsi="仿宋" w:hint="eastAsia"/>
              </w:rPr>
              <w:t>9.</w:t>
            </w:r>
            <w:r w:rsidR="00D078BF">
              <w:rPr>
                <w:rFonts w:ascii="仿宋" w:eastAsia="仿宋" w:hAnsi="仿宋"/>
              </w:rPr>
              <w:t xml:space="preserve"> </w:t>
            </w:r>
            <w:r w:rsidR="00F01E4F" w:rsidRPr="00F01E4F">
              <w:rPr>
                <w:rFonts w:ascii="仿宋" w:eastAsia="仿宋" w:hAnsi="仿宋" w:hint="eastAsia"/>
              </w:rPr>
              <w:t>龙伯华</w:t>
            </w:r>
            <w:r w:rsidR="00F01E4F">
              <w:rPr>
                <w:rFonts w:ascii="仿宋" w:eastAsia="仿宋" w:hAnsi="仿宋" w:hint="eastAsia"/>
              </w:rPr>
              <w:t>（高级工程师；工作单位：深圳市老年医学研究所；完成单位：深圳市老年医学研究所；主要贡献：主要承担</w:t>
            </w:r>
            <w:r w:rsidR="00F01E4F" w:rsidRPr="00F01E4F">
              <w:rPr>
                <w:rFonts w:ascii="仿宋" w:eastAsia="仿宋" w:hAnsi="仿宋" w:hint="eastAsia"/>
              </w:rPr>
              <w:t>具有抗癌活性的环肽类化合物Wewakazole B的全合成研究</w:t>
            </w:r>
            <w:r w:rsidR="00F01E4F" w:rsidRPr="00095508">
              <w:rPr>
                <w:rFonts w:ascii="仿宋" w:eastAsia="仿宋" w:hAnsi="仿宋" w:hint="eastAsia"/>
              </w:rPr>
              <w:t>研究部分，</w:t>
            </w:r>
            <w:r w:rsidR="00F01E4F" w:rsidRPr="00F01E4F">
              <w:rPr>
                <w:rFonts w:ascii="仿宋" w:eastAsia="仿宋" w:hAnsi="仿宋" w:hint="eastAsia"/>
              </w:rPr>
              <w:t>采用有效而实用的非天然氨基酸和多肽合成方法完成了天然环肽Wewakazole B的克级规模全合成</w:t>
            </w:r>
            <w:r w:rsidR="00F01E4F">
              <w:rPr>
                <w:rFonts w:ascii="仿宋" w:eastAsia="仿宋" w:hAnsi="仿宋" w:hint="eastAsia"/>
              </w:rPr>
              <w:t>研究部分</w:t>
            </w:r>
            <w:r w:rsidR="00F01E4F" w:rsidRPr="00095508">
              <w:rPr>
                <w:rFonts w:ascii="仿宋" w:eastAsia="仿宋" w:hAnsi="仿宋" w:hint="eastAsia"/>
              </w:rPr>
              <w:t>。</w:t>
            </w:r>
            <w:r w:rsidR="00F01E4F">
              <w:rPr>
                <w:rFonts w:ascii="仿宋" w:eastAsia="仿宋" w:hAnsi="仿宋" w:hint="eastAsia"/>
              </w:rPr>
              <w:t>）</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Default="00C71C39" w:rsidP="008C60BC">
            <w:pPr>
              <w:adjustRightInd w:val="0"/>
              <w:snapToGrid w:val="0"/>
              <w:jc w:val="left"/>
              <w:rPr>
                <w:rFonts w:ascii="仿宋" w:eastAsia="仿宋" w:hAnsi="仿宋"/>
              </w:rPr>
            </w:pPr>
            <w:r>
              <w:rPr>
                <w:rFonts w:ascii="仿宋" w:eastAsia="仿宋" w:hAnsi="仿宋" w:hint="eastAsia"/>
              </w:rPr>
              <w:t>10.</w:t>
            </w:r>
            <w:r w:rsidRPr="000C2435">
              <w:rPr>
                <w:rFonts w:ascii="仿宋" w:eastAsia="仿宋" w:hAnsi="仿宋" w:hint="eastAsia"/>
              </w:rPr>
              <w:t>金宇</w:t>
            </w:r>
            <w:r>
              <w:rPr>
                <w:rFonts w:ascii="仿宋" w:eastAsia="仿宋" w:hAnsi="仿宋" w:hint="eastAsia"/>
              </w:rPr>
              <w:t>（主任医师；工作单位：深圳市第二人民医院；完成单位：深圳市第二人民医院；主要贡献：主要承担</w:t>
            </w:r>
            <w:r w:rsidRPr="00095508">
              <w:rPr>
                <w:rFonts w:ascii="仿宋" w:eastAsia="仿宋" w:hAnsi="仿宋" w:hint="eastAsia"/>
              </w:rPr>
              <w:t>病证结合分子诊断研究部分，完成了</w:t>
            </w:r>
            <w:r>
              <w:rPr>
                <w:rFonts w:ascii="仿宋" w:eastAsia="仿宋" w:hAnsi="仿宋" w:hint="eastAsia"/>
              </w:rPr>
              <w:t>常见重大慢病病证结合多组学分子诊断研究系列的临床研究部分</w:t>
            </w:r>
            <w:r w:rsidRPr="00095508">
              <w:rPr>
                <w:rFonts w:ascii="仿宋" w:eastAsia="仿宋" w:hAnsi="仿宋" w:hint="eastAsia"/>
              </w:rPr>
              <w:t>。</w:t>
            </w:r>
            <w:r>
              <w:rPr>
                <w:rFonts w:ascii="仿宋" w:eastAsia="仿宋" w:hAnsi="仿宋" w:hint="eastAsia"/>
              </w:rPr>
              <w:t>）</w:t>
            </w:r>
          </w:p>
        </w:tc>
      </w:tr>
      <w:tr w:rsidR="00C71C39" w:rsidTr="008C60BC">
        <w:trPr>
          <w:trHeight w:val="1408"/>
          <w:jc w:val="center"/>
        </w:trPr>
        <w:tc>
          <w:tcPr>
            <w:tcW w:w="1615" w:type="dxa"/>
            <w:vAlign w:val="center"/>
          </w:tcPr>
          <w:p w:rsidR="00C71C39" w:rsidRDefault="00C71C39" w:rsidP="008C60BC">
            <w:pPr>
              <w:adjustRightInd w:val="0"/>
              <w:snapToGrid w:val="0"/>
              <w:jc w:val="center"/>
              <w:rPr>
                <w:rFonts w:ascii="仿宋" w:eastAsia="仿宋" w:hAnsi="仿宋"/>
                <w:b/>
                <w:bCs/>
              </w:rPr>
            </w:pPr>
            <w:r>
              <w:rPr>
                <w:rFonts w:ascii="仿宋" w:eastAsia="仿宋" w:hAnsi="仿宋" w:hint="eastAsia"/>
                <w:b/>
                <w:bCs/>
              </w:rPr>
              <w:t>项目简介</w:t>
            </w:r>
          </w:p>
        </w:tc>
        <w:tc>
          <w:tcPr>
            <w:tcW w:w="7849" w:type="dxa"/>
            <w:vAlign w:val="center"/>
          </w:tcPr>
          <w:p w:rsidR="00C71C39" w:rsidRDefault="00C71C39" w:rsidP="008C60BC">
            <w:pPr>
              <w:adjustRightInd w:val="0"/>
              <w:snapToGrid w:val="0"/>
              <w:jc w:val="left"/>
              <w:rPr>
                <w:rFonts w:ascii="仿宋" w:eastAsia="仿宋" w:hAnsi="仿宋"/>
              </w:rPr>
            </w:pPr>
            <w:r>
              <w:rPr>
                <w:rFonts w:ascii="仿宋" w:eastAsia="仿宋" w:hAnsi="仿宋" w:hint="eastAsia"/>
              </w:rPr>
              <w:t xml:space="preserve">    </w:t>
            </w:r>
            <w:r w:rsidRPr="0043040F">
              <w:rPr>
                <w:rFonts w:ascii="仿宋" w:eastAsia="仿宋" w:hAnsi="仿宋" w:hint="eastAsia"/>
              </w:rPr>
              <w:t>中医和中西医结合是我国医疗卫生事业的重要特色和优势；精准医学是未来医学发展的必然趋势，而分子诊断是精准医学的基石。开展中西医结合分子诊断、精准干预与证候物质基础研究，是中医学术创新发展和现代化的重大基础性关键性课题。鉴此，本项成果进行了</w:t>
            </w:r>
            <w:r w:rsidRPr="00AE5491">
              <w:rPr>
                <w:rFonts w:ascii="仿宋" w:eastAsia="仿宋" w:hAnsi="仿宋" w:hint="eastAsia"/>
              </w:rPr>
              <w:t>重大慢病中西医结合精准诊疗关键技术创新与应用</w:t>
            </w:r>
            <w:r w:rsidRPr="0043040F">
              <w:rPr>
                <w:rFonts w:ascii="仿宋" w:eastAsia="仿宋" w:hAnsi="仿宋" w:hint="eastAsia"/>
              </w:rPr>
              <w:t>。本项成果主要内容、科学发现与科学价值如下：</w:t>
            </w:r>
          </w:p>
          <w:p w:rsidR="00C71C39" w:rsidRPr="004A1D2C" w:rsidRDefault="00C71C39" w:rsidP="008C60BC">
            <w:pPr>
              <w:adjustRightInd w:val="0"/>
              <w:snapToGrid w:val="0"/>
              <w:jc w:val="left"/>
              <w:rPr>
                <w:rFonts w:ascii="仿宋" w:eastAsia="仿宋" w:hAnsi="仿宋"/>
              </w:rPr>
            </w:pPr>
            <w:r w:rsidRPr="004A1D2C">
              <w:rPr>
                <w:rFonts w:ascii="仿宋" w:eastAsia="仿宋" w:hAnsi="仿宋" w:hint="eastAsia"/>
              </w:rPr>
              <w:t>1．首次基于唾液蛋白指纹图谱和iTRAQ定量蛋白质组学技术，系统开展了胃癌、肠癌、乳腺癌、糖尿病等重大慢病病证结合分子诊断研究。2. 系统筛选探索乳腺癌与肠癌转移与愈合相关基因。</w:t>
            </w:r>
            <w:r w:rsidR="00D078BF">
              <w:rPr>
                <w:rFonts w:ascii="仿宋" w:eastAsia="仿宋" w:hAnsi="仿宋" w:hint="eastAsia"/>
              </w:rPr>
              <w:t>3.</w:t>
            </w:r>
            <w:r w:rsidRPr="004A1D2C">
              <w:rPr>
                <w:rFonts w:ascii="仿宋" w:eastAsia="仿宋" w:hAnsi="仿宋" w:hint="eastAsia"/>
              </w:rPr>
              <w:t>首次完成了强致病性和耐药性CGSP14基因组的拼接和</w:t>
            </w:r>
            <w:r w:rsidRPr="004A1D2C">
              <w:rPr>
                <w:rFonts w:ascii="仿宋" w:eastAsia="仿宋" w:hAnsi="仿宋" w:hint="eastAsia"/>
              </w:rPr>
              <w:lastRenderedPageBreak/>
              <w:t>组装研究，筛选到多个新的耐药和强致病基因,并探讨基因可变剪接与应激反应的相互调控关系，为临床精准干预提供了新靶点。4．率先基于同病异证、异病同证理论系统开展重大慢病中西医结合分子诊断研究首次发现报道了多种中医证候相关的特异唾液蛋白，有望成为中医证候诊断诊断的客观指标和中药干预新靶点；并建立了全新的证候唾液蛋白指纹图谱分子诊断模型，推动了中医诊断的客观化现代化。5．精准干预技术系列创新。</w:t>
            </w:r>
            <w:r w:rsidR="00D078BF">
              <w:rPr>
                <w:rFonts w:ascii="仿宋" w:eastAsia="仿宋" w:hAnsi="仿宋" w:hint="eastAsia"/>
              </w:rPr>
              <w:t>6.</w:t>
            </w:r>
            <w:r w:rsidRPr="004A1D2C">
              <w:rPr>
                <w:rFonts w:ascii="仿宋" w:eastAsia="仿宋" w:hAnsi="仿宋" w:hint="eastAsia"/>
              </w:rPr>
              <w:t>率先开展老年性痴呆、抑郁症等常见重大慢病病证结合分子诊断研究，揭示了其中医证候的相关生物学基础，并系统开展了中医寒热虚实纲领性证候物质基础及其诊断客观化研究。7、创新发展了唾液无创伤中西医结合分子诊断技术方法学：系统建立唾液定量蛋白质组、唾液蛋白指纹图谱等系列无创伤分子诊断研究技术方法，为中西医结临床无创性分子诊断研究拓展了多个新的技术领域，推动了本领域技术进步。</w:t>
            </w:r>
          </w:p>
          <w:p w:rsidR="00C71C39" w:rsidRPr="0043040F" w:rsidRDefault="00C71C39" w:rsidP="008C60BC">
            <w:pPr>
              <w:adjustRightInd w:val="0"/>
              <w:snapToGrid w:val="0"/>
              <w:jc w:val="left"/>
              <w:rPr>
                <w:rFonts w:ascii="仿宋" w:eastAsia="仿宋" w:hAnsi="仿宋"/>
              </w:rPr>
            </w:pPr>
            <w:r>
              <w:rPr>
                <w:rFonts w:ascii="仿宋" w:eastAsia="仿宋" w:hAnsi="仿宋" w:hint="eastAsia"/>
              </w:rPr>
              <w:t xml:space="preserve">    </w:t>
            </w:r>
            <w:r w:rsidRPr="0043040F">
              <w:rPr>
                <w:rFonts w:ascii="仿宋" w:eastAsia="仿宋" w:hAnsi="仿宋" w:hint="eastAsia"/>
              </w:rPr>
              <w:t>综上所述，本项成果系统开展</w:t>
            </w:r>
            <w:r w:rsidRPr="00AE5491">
              <w:rPr>
                <w:rFonts w:ascii="仿宋" w:eastAsia="仿宋" w:hAnsi="仿宋" w:hint="eastAsia"/>
              </w:rPr>
              <w:t>重大慢病中西医结合精准诊疗关键技术创新与应用</w:t>
            </w:r>
            <w:r w:rsidRPr="0043040F">
              <w:rPr>
                <w:rFonts w:ascii="仿宋" w:eastAsia="仿宋" w:hAnsi="仿宋" w:hint="eastAsia"/>
              </w:rPr>
              <w:t>，在国内率先建立了唾液无创伤分子诊断技术平台，开拓了多个无创伤分子诊断新领域，取得了系列创新研究成果，并进行广泛转化和推广应用，对于推动中西医结合医学创新发展、提高相关重大慢病中西医结合诊疗防治水平均具有重要意义</w:t>
            </w:r>
            <w:r>
              <w:rPr>
                <w:rFonts w:ascii="仿宋" w:eastAsia="仿宋" w:hAnsi="仿宋" w:hint="eastAsia"/>
              </w:rPr>
              <w:t>。</w:t>
            </w:r>
          </w:p>
        </w:tc>
      </w:tr>
      <w:tr w:rsidR="00C71C39" w:rsidTr="008C60BC">
        <w:trPr>
          <w:trHeight w:val="397"/>
          <w:jc w:val="center"/>
        </w:trPr>
        <w:tc>
          <w:tcPr>
            <w:tcW w:w="1615" w:type="dxa"/>
            <w:vMerge w:val="restart"/>
            <w:vAlign w:val="center"/>
          </w:tcPr>
          <w:p w:rsidR="00C71C39" w:rsidRDefault="00C71C39" w:rsidP="008C60BC">
            <w:pPr>
              <w:adjustRightInd w:val="0"/>
              <w:snapToGrid w:val="0"/>
              <w:jc w:val="center"/>
              <w:rPr>
                <w:rFonts w:ascii="仿宋" w:eastAsia="仿宋" w:hAnsi="仿宋"/>
                <w:b/>
                <w:bCs/>
              </w:rPr>
            </w:pPr>
          </w:p>
          <w:p w:rsidR="00C71C39" w:rsidRDefault="00C71C39" w:rsidP="008C60BC">
            <w:pPr>
              <w:adjustRightInd w:val="0"/>
              <w:snapToGrid w:val="0"/>
              <w:jc w:val="center"/>
              <w:rPr>
                <w:rFonts w:ascii="仿宋" w:eastAsia="仿宋" w:hAnsi="仿宋"/>
                <w:b/>
                <w:bCs/>
              </w:rPr>
            </w:pPr>
            <w:r>
              <w:rPr>
                <w:rFonts w:ascii="仿宋" w:eastAsia="仿宋" w:hAnsi="仿宋" w:hint="eastAsia"/>
                <w:b/>
                <w:bCs/>
              </w:rPr>
              <w:t>代表性论文</w:t>
            </w:r>
          </w:p>
          <w:p w:rsidR="00C71C39" w:rsidRDefault="00C71C39" w:rsidP="008C60BC">
            <w:pPr>
              <w:adjustRightInd w:val="0"/>
              <w:snapToGrid w:val="0"/>
              <w:jc w:val="center"/>
              <w:rPr>
                <w:rFonts w:ascii="仿宋" w:eastAsia="仿宋" w:hAnsi="仿宋"/>
                <w:b/>
                <w:bCs/>
              </w:rPr>
            </w:pPr>
            <w:r>
              <w:rPr>
                <w:rFonts w:ascii="仿宋" w:eastAsia="仿宋" w:hAnsi="仿宋" w:hint="eastAsia"/>
                <w:b/>
                <w:bCs/>
              </w:rPr>
              <w:t>专著目录</w:t>
            </w:r>
          </w:p>
        </w:tc>
        <w:tc>
          <w:tcPr>
            <w:tcW w:w="7849" w:type="dxa"/>
            <w:vAlign w:val="center"/>
          </w:tcPr>
          <w:p w:rsidR="00C71C39" w:rsidRPr="00074CC8" w:rsidRDefault="00C71C39" w:rsidP="008C60BC">
            <w:pPr>
              <w:adjustRightInd w:val="0"/>
              <w:snapToGrid w:val="0"/>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1</w:t>
            </w:r>
            <w:r w:rsidRPr="00074CC8">
              <w:rPr>
                <w:rFonts w:ascii="Times New Roman" w:eastAsia="仿宋" w:hAnsi="仿宋"/>
              </w:rPr>
              <w:t>：</w:t>
            </w:r>
            <w:r w:rsidRPr="007D702F">
              <w:rPr>
                <w:rFonts w:ascii="Times New Roman" w:eastAsia="仿宋" w:hAnsi="仿宋"/>
              </w:rPr>
              <w:t xml:space="preserve">Total synthesis of wewakazole B. Organic &amp; Biomolecular Chemistry. </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8C60BC">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2</w:t>
            </w:r>
            <w:r w:rsidRPr="00074CC8">
              <w:rPr>
                <w:rFonts w:ascii="Times New Roman" w:eastAsia="仿宋" w:hAnsi="仿宋"/>
              </w:rPr>
              <w:t>：</w:t>
            </w:r>
            <w:r w:rsidRPr="007D702F">
              <w:rPr>
                <w:rFonts w:ascii="Times New Roman" w:eastAsia="仿宋" w:hAnsi="Times New Roman"/>
              </w:rPr>
              <w:t xml:space="preserve">Local administration of a novel Toll-like receptor 7 agonist in combination with doxorubicin induces durable tumouricidal effects in a murine model of T cell lymphoma. </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D078BF">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3</w:t>
            </w:r>
            <w:r w:rsidRPr="00074CC8">
              <w:rPr>
                <w:rFonts w:ascii="Times New Roman" w:eastAsia="仿宋" w:hAnsi="仿宋"/>
              </w:rPr>
              <w:t>：</w:t>
            </w:r>
            <w:r w:rsidR="00D078BF" w:rsidRPr="007D702F">
              <w:rPr>
                <w:rFonts w:ascii="Times New Roman" w:eastAsia="仿宋" w:hAnsi="Times New Roman"/>
              </w:rPr>
              <w:t>Mechanical properties and in vivo study of modifiederketone biocomposites.</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D078BF">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4</w:t>
            </w:r>
            <w:r w:rsidRPr="00074CC8">
              <w:rPr>
                <w:rFonts w:ascii="Times New Roman" w:eastAsia="仿宋" w:hAnsi="仿宋"/>
              </w:rPr>
              <w:t>：</w:t>
            </w:r>
            <w:r w:rsidRPr="007D702F">
              <w:rPr>
                <w:rFonts w:ascii="Times New Roman" w:eastAsia="仿宋" w:hAnsi="Times New Roman"/>
              </w:rPr>
              <w:t xml:space="preserve"> </w:t>
            </w:r>
            <w:r w:rsidR="00D078BF" w:rsidRPr="007D702F">
              <w:rPr>
                <w:rFonts w:ascii="Times New Roman" w:eastAsia="仿宋" w:hAnsi="Times New Roman"/>
              </w:rPr>
              <w:t>A Laminated Microfluidic Device for Comprehensive Preclinical Testing in the Drug ADME Process</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D078BF">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5</w:t>
            </w:r>
            <w:r w:rsidRPr="00074CC8">
              <w:rPr>
                <w:rFonts w:ascii="Times New Roman" w:eastAsia="仿宋" w:hAnsi="仿宋"/>
              </w:rPr>
              <w:t>：</w:t>
            </w:r>
            <w:r w:rsidR="00D078BF" w:rsidRPr="00D078BF">
              <w:rPr>
                <w:rFonts w:ascii="Times New Roman" w:eastAsia="仿宋" w:hAnsi="仿宋"/>
              </w:rPr>
              <w:t>A Novel Mutation of DAX-1 Associated with Secretory Azoospermia</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D078BF">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6</w:t>
            </w:r>
            <w:r w:rsidRPr="00074CC8">
              <w:rPr>
                <w:rFonts w:ascii="Times New Roman" w:eastAsia="仿宋" w:hAnsi="仿宋"/>
              </w:rPr>
              <w:t>：</w:t>
            </w:r>
            <w:r w:rsidR="00D078BF" w:rsidRPr="007D702F">
              <w:rPr>
                <w:rFonts w:ascii="Times New Roman" w:eastAsia="仿宋" w:hAnsi="Times New Roman"/>
              </w:rPr>
              <w:t>siRNA-Mediated Suppression of Synuclein gamma Inhibits MDA-MB-231 Cell Migration and Proliferation by Downregulating the Phosphorylation of AKT and ERK.</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8C60BC">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7</w:t>
            </w:r>
            <w:r w:rsidRPr="00074CC8">
              <w:rPr>
                <w:rFonts w:ascii="Times New Roman" w:eastAsia="仿宋" w:hAnsi="仿宋"/>
              </w:rPr>
              <w:t>：</w:t>
            </w:r>
            <w:r w:rsidR="00D078BF" w:rsidRPr="00D078BF">
              <w:rPr>
                <w:rFonts w:ascii="Times New Roman" w:eastAsia="仿宋" w:hAnsi="Times New Roman"/>
              </w:rPr>
              <w:t>Construction of protein profile classification model and screening of proteomic signature of acute leukemia</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D078BF">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8</w:t>
            </w:r>
            <w:r w:rsidRPr="00074CC8">
              <w:rPr>
                <w:rFonts w:ascii="Times New Roman" w:eastAsia="仿宋" w:hAnsi="仿宋"/>
              </w:rPr>
              <w:t>：</w:t>
            </w:r>
            <w:r w:rsidR="00D078BF" w:rsidRPr="00D078BF">
              <w:rPr>
                <w:rFonts w:ascii="Times New Roman" w:eastAsia="仿宋" w:hAnsi="Times New Roman" w:hint="eastAsia"/>
              </w:rPr>
              <w:t>应用</w:t>
            </w:r>
            <w:r w:rsidR="00D078BF" w:rsidRPr="00D078BF">
              <w:rPr>
                <w:rFonts w:ascii="Times New Roman" w:eastAsia="仿宋" w:hAnsi="Times New Roman" w:hint="eastAsia"/>
              </w:rPr>
              <w:t>iTRAQ</w:t>
            </w:r>
            <w:r w:rsidR="00D078BF" w:rsidRPr="00D078BF">
              <w:rPr>
                <w:rFonts w:ascii="Times New Roman" w:eastAsia="仿宋" w:hAnsi="Times New Roman" w:hint="eastAsia"/>
              </w:rPr>
              <w:t>技术筛选乳腺癌白苔和黄苔患者血清差异表达蛋白</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7D702F" w:rsidRDefault="00C71C39" w:rsidP="008C60BC">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9</w:t>
            </w:r>
            <w:r w:rsidRPr="00074CC8">
              <w:rPr>
                <w:rFonts w:ascii="Times New Roman" w:eastAsia="仿宋" w:hAnsi="仿宋"/>
              </w:rPr>
              <w:t>：</w:t>
            </w:r>
            <w:r w:rsidR="00D078BF" w:rsidRPr="00D078BF">
              <w:rPr>
                <w:rFonts w:ascii="Times New Roman" w:eastAsia="仿宋" w:hAnsi="Times New Roman" w:hint="eastAsia"/>
              </w:rPr>
              <w:t>甲状腺癌中医辨证唾液蛋白质组诊断模型研究</w:t>
            </w:r>
            <w:r w:rsidRPr="007D702F">
              <w:rPr>
                <w:rFonts w:ascii="Times New Roman" w:eastAsia="仿宋" w:hAnsi="Times New Roman" w:hint="eastAsia"/>
              </w:rPr>
              <w:t>.</w:t>
            </w:r>
          </w:p>
        </w:tc>
      </w:tr>
      <w:tr w:rsidR="00C71C39"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074CC8" w:rsidRDefault="00C71C39" w:rsidP="008C60BC">
            <w:pPr>
              <w:adjustRightInd w:val="0"/>
              <w:snapToGrid w:val="0"/>
              <w:jc w:val="left"/>
              <w:rPr>
                <w:rFonts w:ascii="Times New Roman" w:eastAsia="仿宋" w:hAnsi="Times New Roman"/>
              </w:rPr>
            </w:pPr>
            <w:r w:rsidRPr="00074CC8">
              <w:rPr>
                <w:rFonts w:ascii="Times New Roman" w:eastAsia="仿宋" w:hAnsi="仿宋"/>
              </w:rPr>
              <w:t>论文</w:t>
            </w:r>
            <w:r w:rsidRPr="00074CC8">
              <w:rPr>
                <w:rFonts w:ascii="Times New Roman" w:eastAsia="仿宋" w:hAnsi="Times New Roman"/>
              </w:rPr>
              <w:t>10</w:t>
            </w:r>
            <w:r w:rsidRPr="00074CC8">
              <w:rPr>
                <w:rFonts w:ascii="Times New Roman" w:eastAsia="仿宋" w:hAnsi="仿宋"/>
              </w:rPr>
              <w:t>：</w:t>
            </w:r>
            <w:r w:rsidRPr="007D702F">
              <w:rPr>
                <w:rFonts w:ascii="Times New Roman" w:eastAsia="仿宋" w:hAnsi="仿宋" w:hint="eastAsia"/>
              </w:rPr>
              <w:t>胃癌与慢性胃炎唾液蛋白质组鉴别诊断模型</w:t>
            </w:r>
          </w:p>
        </w:tc>
      </w:tr>
      <w:tr w:rsidR="00C71C39" w:rsidTr="008C60BC">
        <w:trPr>
          <w:trHeight w:val="397"/>
          <w:jc w:val="center"/>
        </w:trPr>
        <w:tc>
          <w:tcPr>
            <w:tcW w:w="1615" w:type="dxa"/>
            <w:vMerge w:val="restart"/>
            <w:vAlign w:val="center"/>
          </w:tcPr>
          <w:p w:rsidR="00C71C39" w:rsidRDefault="00C71C39" w:rsidP="008C60BC">
            <w:pPr>
              <w:adjustRightInd w:val="0"/>
              <w:snapToGrid w:val="0"/>
              <w:jc w:val="center"/>
              <w:rPr>
                <w:rFonts w:ascii="仿宋" w:eastAsia="仿宋" w:hAnsi="仿宋"/>
                <w:b/>
                <w:bCs/>
              </w:rPr>
            </w:pPr>
            <w:r>
              <w:rPr>
                <w:rFonts w:ascii="仿宋" w:eastAsia="仿宋" w:hAnsi="仿宋" w:hint="eastAsia"/>
                <w:b/>
                <w:bCs/>
              </w:rPr>
              <w:t>知识产权名称</w:t>
            </w:r>
          </w:p>
        </w:tc>
        <w:tc>
          <w:tcPr>
            <w:tcW w:w="7849" w:type="dxa"/>
            <w:vAlign w:val="center"/>
          </w:tcPr>
          <w:p w:rsidR="00C71C39" w:rsidRPr="00BF721A" w:rsidRDefault="00C71C39" w:rsidP="008C60BC">
            <w:pPr>
              <w:adjustRightInd w:val="0"/>
              <w:snapToGrid w:val="0"/>
              <w:rPr>
                <w:rFonts w:ascii="Times New Roman" w:eastAsia="仿宋" w:hAnsi="仿宋"/>
              </w:rPr>
            </w:pPr>
            <w:r w:rsidRPr="00BF721A">
              <w:rPr>
                <w:rFonts w:ascii="Times New Roman" w:eastAsia="仿宋" w:hAnsi="仿宋" w:hint="eastAsia"/>
              </w:rPr>
              <w:t>专利</w:t>
            </w:r>
            <w:r w:rsidRPr="00BF721A">
              <w:rPr>
                <w:rFonts w:ascii="Times New Roman" w:eastAsia="仿宋" w:hAnsi="仿宋" w:hint="eastAsia"/>
              </w:rPr>
              <w:t>1</w:t>
            </w:r>
            <w:r w:rsidRPr="00BF721A">
              <w:rPr>
                <w:rFonts w:ascii="Times New Roman" w:eastAsia="仿宋" w:hAnsi="仿宋" w:hint="eastAsia"/>
              </w:rPr>
              <w:t>：</w:t>
            </w:r>
            <w:r w:rsidRPr="00BF721A">
              <w:rPr>
                <w:rFonts w:ascii="Times New Roman" w:eastAsia="仿宋" w:hAnsi="仿宋"/>
              </w:rPr>
              <w:t xml:space="preserve"> </w:t>
            </w:r>
            <w:r w:rsidRPr="00BF721A">
              <w:rPr>
                <w:rFonts w:ascii="Times New Roman" w:eastAsia="仿宋" w:hAnsi="仿宋" w:hint="eastAsia"/>
              </w:rPr>
              <w:t>&lt;</w:t>
            </w:r>
            <w:r w:rsidRPr="00BF721A">
              <w:rPr>
                <w:rFonts w:ascii="Times New Roman" w:eastAsia="仿宋" w:hAnsi="仿宋"/>
              </w:rPr>
              <w:t>胃癌唾液蛋白指纹图谱分子诊断模型建立方法</w:t>
            </w:r>
            <w:r w:rsidRPr="00BF721A">
              <w:rPr>
                <w:rFonts w:ascii="Times New Roman" w:eastAsia="仿宋" w:hAnsi="仿宋" w:hint="eastAsia"/>
              </w:rPr>
              <w:t>&gt;(</w:t>
            </w:r>
            <w:r>
              <w:rPr>
                <w:rFonts w:ascii="Times New Roman" w:eastAsia="仿宋" w:hAnsi="仿宋" w:hint="eastAsia"/>
              </w:rPr>
              <w:t>ZL</w:t>
            </w:r>
            <w:r w:rsidRPr="00BF721A">
              <w:rPr>
                <w:rFonts w:ascii="Times New Roman" w:eastAsia="仿宋" w:hAnsi="仿宋"/>
              </w:rPr>
              <w:t>201610169314.3</w:t>
            </w:r>
            <w:r w:rsidRPr="00BF721A">
              <w:rPr>
                <w:rFonts w:ascii="Times New Roman" w:eastAsia="仿宋" w:hAnsi="仿宋" w:hint="eastAsia"/>
              </w:rPr>
              <w:t>)</w:t>
            </w:r>
          </w:p>
        </w:tc>
      </w:tr>
      <w:tr w:rsidR="00C71C39" w:rsidRPr="00BF721A"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BF721A" w:rsidRDefault="00C71C39" w:rsidP="008C60BC">
            <w:pPr>
              <w:adjustRightInd w:val="0"/>
              <w:snapToGrid w:val="0"/>
              <w:rPr>
                <w:rFonts w:ascii="Times New Roman" w:eastAsia="仿宋" w:hAnsi="仿宋"/>
              </w:rPr>
            </w:pPr>
            <w:r w:rsidRPr="00BF721A">
              <w:rPr>
                <w:rFonts w:ascii="Times New Roman" w:eastAsia="仿宋" w:hAnsi="仿宋" w:hint="eastAsia"/>
              </w:rPr>
              <w:t>专利</w:t>
            </w:r>
            <w:r w:rsidRPr="00BF721A">
              <w:rPr>
                <w:rFonts w:ascii="Times New Roman" w:eastAsia="仿宋" w:hAnsi="仿宋" w:hint="eastAsia"/>
              </w:rPr>
              <w:t>2</w:t>
            </w:r>
            <w:r w:rsidRPr="00BF721A">
              <w:rPr>
                <w:rFonts w:ascii="Times New Roman" w:eastAsia="仿宋" w:hAnsi="仿宋" w:hint="eastAsia"/>
              </w:rPr>
              <w:t>：</w:t>
            </w:r>
            <w:r w:rsidRPr="00BF721A">
              <w:rPr>
                <w:rFonts w:ascii="Times New Roman" w:eastAsia="仿宋" w:hAnsi="仿宋" w:hint="eastAsia"/>
              </w:rPr>
              <w:t>&lt;</w:t>
            </w:r>
            <w:r w:rsidRPr="00BF721A">
              <w:rPr>
                <w:rFonts w:ascii="Times New Roman" w:eastAsia="仿宋" w:hAnsi="仿宋"/>
              </w:rPr>
              <w:t>胃癌脾虚证唾液蛋白指纹图谱分子诊断模型建立方法</w:t>
            </w:r>
            <w:r w:rsidRPr="00BF721A">
              <w:rPr>
                <w:rFonts w:ascii="Times New Roman" w:eastAsia="仿宋" w:hAnsi="仿宋" w:hint="eastAsia"/>
              </w:rPr>
              <w:t>&gt;</w:t>
            </w:r>
            <w:r w:rsidRPr="00BF721A">
              <w:rPr>
                <w:rFonts w:ascii="Times New Roman" w:eastAsia="仿宋" w:hAnsi="仿宋" w:hint="eastAsia"/>
              </w:rPr>
              <w:t>（</w:t>
            </w:r>
            <w:r>
              <w:rPr>
                <w:rFonts w:ascii="Times New Roman" w:eastAsia="仿宋" w:hAnsi="仿宋" w:hint="eastAsia"/>
              </w:rPr>
              <w:t>ZL</w:t>
            </w:r>
            <w:r w:rsidRPr="00BF721A">
              <w:rPr>
                <w:rFonts w:ascii="Times New Roman" w:eastAsia="仿宋" w:hAnsi="仿宋"/>
              </w:rPr>
              <w:t xml:space="preserve"> 201610168131.X</w:t>
            </w:r>
            <w:r w:rsidRPr="00BF721A">
              <w:rPr>
                <w:rFonts w:ascii="Times New Roman" w:eastAsia="仿宋" w:hAnsi="仿宋" w:hint="eastAsia"/>
              </w:rPr>
              <w:t>）</w:t>
            </w:r>
          </w:p>
        </w:tc>
      </w:tr>
      <w:tr w:rsidR="00C71C39" w:rsidRPr="00BF721A"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BF721A" w:rsidRDefault="00C71C39" w:rsidP="008C60BC">
            <w:pPr>
              <w:adjustRightInd w:val="0"/>
              <w:snapToGrid w:val="0"/>
              <w:rPr>
                <w:rFonts w:ascii="Times New Roman" w:eastAsia="仿宋" w:hAnsi="仿宋"/>
              </w:rPr>
            </w:pPr>
            <w:r w:rsidRPr="00BF721A">
              <w:rPr>
                <w:rFonts w:ascii="Times New Roman" w:eastAsia="仿宋" w:hAnsi="仿宋" w:hint="eastAsia"/>
              </w:rPr>
              <w:t>专利</w:t>
            </w:r>
            <w:r w:rsidRPr="00BF721A">
              <w:rPr>
                <w:rFonts w:ascii="Times New Roman" w:eastAsia="仿宋" w:hAnsi="仿宋" w:hint="eastAsia"/>
              </w:rPr>
              <w:t>3</w:t>
            </w:r>
            <w:r w:rsidRPr="00BF721A">
              <w:rPr>
                <w:rFonts w:ascii="Times New Roman" w:eastAsia="仿宋" w:hAnsi="仿宋" w:hint="eastAsia"/>
              </w:rPr>
              <w:t>：</w:t>
            </w:r>
            <w:r w:rsidRPr="00BF721A">
              <w:rPr>
                <w:rFonts w:ascii="Times New Roman" w:eastAsia="仿宋" w:hAnsi="仿宋" w:hint="eastAsia"/>
              </w:rPr>
              <w:t>&lt;</w:t>
            </w:r>
            <w:r w:rsidRPr="00BF721A">
              <w:rPr>
                <w:rFonts w:ascii="Times New Roman" w:eastAsia="仿宋" w:hAnsi="仿宋" w:hint="eastAsia"/>
              </w:rPr>
              <w:t>大肠癌唾液蛋白指纹图谱分子诊断模型建立方法</w:t>
            </w:r>
            <w:r w:rsidRPr="00BF721A">
              <w:rPr>
                <w:rFonts w:ascii="Times New Roman" w:eastAsia="仿宋" w:hAnsi="仿宋" w:hint="eastAsia"/>
              </w:rPr>
              <w:t>&gt;(</w:t>
            </w:r>
            <w:r>
              <w:rPr>
                <w:rFonts w:ascii="Times New Roman" w:eastAsia="仿宋" w:hAnsi="仿宋" w:hint="eastAsia"/>
              </w:rPr>
              <w:t xml:space="preserve"> ZL</w:t>
            </w:r>
            <w:r w:rsidRPr="00BF721A">
              <w:rPr>
                <w:rFonts w:ascii="Times New Roman" w:eastAsia="仿宋" w:hAnsi="仿宋"/>
              </w:rPr>
              <w:t xml:space="preserve"> 201610168260.9</w:t>
            </w:r>
            <w:r w:rsidRPr="00BF721A">
              <w:rPr>
                <w:rFonts w:ascii="Times New Roman" w:eastAsia="仿宋" w:hAnsi="仿宋" w:hint="eastAsia"/>
              </w:rPr>
              <w:t>)</w:t>
            </w:r>
          </w:p>
        </w:tc>
      </w:tr>
      <w:tr w:rsidR="00C71C39" w:rsidRPr="00BF721A" w:rsidTr="008C60BC">
        <w:trPr>
          <w:trHeight w:val="397"/>
          <w:jc w:val="center"/>
        </w:trPr>
        <w:tc>
          <w:tcPr>
            <w:tcW w:w="1615" w:type="dxa"/>
            <w:vMerge/>
            <w:vAlign w:val="center"/>
          </w:tcPr>
          <w:p w:rsidR="00C71C39" w:rsidRDefault="00C71C39" w:rsidP="008C60BC">
            <w:pPr>
              <w:adjustRightInd w:val="0"/>
              <w:snapToGrid w:val="0"/>
              <w:jc w:val="center"/>
              <w:rPr>
                <w:rFonts w:ascii="仿宋" w:eastAsia="仿宋" w:hAnsi="仿宋"/>
                <w:b/>
                <w:bCs/>
              </w:rPr>
            </w:pPr>
          </w:p>
        </w:tc>
        <w:tc>
          <w:tcPr>
            <w:tcW w:w="7849" w:type="dxa"/>
            <w:vAlign w:val="center"/>
          </w:tcPr>
          <w:p w:rsidR="00C71C39" w:rsidRPr="00BF721A" w:rsidRDefault="00C71C39" w:rsidP="008C60BC">
            <w:pPr>
              <w:adjustRightInd w:val="0"/>
              <w:snapToGrid w:val="0"/>
              <w:rPr>
                <w:rFonts w:ascii="Times New Roman" w:eastAsia="仿宋" w:hAnsi="仿宋"/>
              </w:rPr>
            </w:pPr>
            <w:r w:rsidRPr="00BF721A">
              <w:rPr>
                <w:rFonts w:ascii="Times New Roman" w:eastAsia="仿宋" w:hAnsi="仿宋" w:hint="eastAsia"/>
              </w:rPr>
              <w:t>专利</w:t>
            </w:r>
            <w:r w:rsidRPr="00BF721A">
              <w:rPr>
                <w:rFonts w:ascii="Times New Roman" w:eastAsia="仿宋" w:hAnsi="仿宋" w:hint="eastAsia"/>
              </w:rPr>
              <w:t>4</w:t>
            </w:r>
            <w:r w:rsidRPr="00BF721A">
              <w:rPr>
                <w:rFonts w:ascii="Times New Roman" w:eastAsia="仿宋" w:hAnsi="仿宋" w:hint="eastAsia"/>
              </w:rPr>
              <w:t>：</w:t>
            </w:r>
            <w:r w:rsidRPr="00BF721A">
              <w:rPr>
                <w:rFonts w:ascii="Times New Roman" w:eastAsia="仿宋" w:hAnsi="仿宋" w:hint="eastAsia"/>
              </w:rPr>
              <w:t>&lt;</w:t>
            </w:r>
            <w:r w:rsidRPr="00BF721A">
              <w:rPr>
                <w:rFonts w:ascii="Times New Roman" w:eastAsia="仿宋" w:hAnsi="仿宋" w:hint="eastAsia"/>
              </w:rPr>
              <w:t>右旋糖酐纳米药物载体及其制备方法与抗肿瘤药物</w:t>
            </w:r>
          </w:p>
          <w:p w:rsidR="00C71C39" w:rsidRPr="00BF721A" w:rsidRDefault="00C71C39" w:rsidP="008C60BC">
            <w:pPr>
              <w:adjustRightInd w:val="0"/>
              <w:snapToGrid w:val="0"/>
              <w:rPr>
                <w:rFonts w:ascii="Times New Roman" w:eastAsia="仿宋" w:hAnsi="仿宋"/>
              </w:rPr>
            </w:pPr>
            <w:r w:rsidRPr="00BF721A">
              <w:rPr>
                <w:rFonts w:ascii="Times New Roman" w:eastAsia="仿宋" w:hAnsi="仿宋" w:hint="eastAsia"/>
              </w:rPr>
              <w:t>及其制备方法</w:t>
            </w:r>
            <w:r w:rsidRPr="00BF721A">
              <w:rPr>
                <w:rFonts w:ascii="Times New Roman" w:eastAsia="仿宋" w:hAnsi="仿宋" w:hint="eastAsia"/>
              </w:rPr>
              <w:t>&gt;</w:t>
            </w:r>
            <w:r w:rsidRPr="00BF721A">
              <w:rPr>
                <w:rFonts w:ascii="Times New Roman" w:eastAsia="仿宋" w:hAnsi="仿宋" w:hint="eastAsia"/>
              </w:rPr>
              <w:t>（</w:t>
            </w:r>
            <w:r w:rsidRPr="00BF721A">
              <w:rPr>
                <w:rFonts w:ascii="Times New Roman" w:eastAsia="仿宋" w:hAnsi="仿宋" w:hint="eastAsia"/>
              </w:rPr>
              <w:t>ZL201510366568.X</w:t>
            </w:r>
            <w:r w:rsidRPr="00BF721A">
              <w:rPr>
                <w:rFonts w:ascii="Times New Roman" w:eastAsia="仿宋" w:hAnsi="仿宋" w:hint="eastAsia"/>
              </w:rPr>
              <w:t>）</w:t>
            </w:r>
          </w:p>
        </w:tc>
      </w:tr>
      <w:tr w:rsidR="00C71C39" w:rsidTr="008C60BC">
        <w:trPr>
          <w:trHeight w:val="1541"/>
          <w:jc w:val="center"/>
        </w:trPr>
        <w:tc>
          <w:tcPr>
            <w:tcW w:w="1615" w:type="dxa"/>
            <w:vAlign w:val="center"/>
          </w:tcPr>
          <w:p w:rsidR="00C71C39" w:rsidRDefault="00C71C39" w:rsidP="008C60BC">
            <w:pPr>
              <w:adjustRightInd w:val="0"/>
              <w:snapToGrid w:val="0"/>
              <w:jc w:val="center"/>
              <w:rPr>
                <w:rFonts w:ascii="仿宋" w:eastAsia="仿宋" w:hAnsi="仿宋"/>
                <w:b/>
                <w:bCs/>
              </w:rPr>
            </w:pPr>
            <w:r>
              <w:rPr>
                <w:rFonts w:ascii="仿宋" w:eastAsia="仿宋" w:hAnsi="仿宋" w:hint="eastAsia"/>
                <w:b/>
                <w:bCs/>
              </w:rPr>
              <w:t>推广应用情况</w:t>
            </w:r>
          </w:p>
        </w:tc>
        <w:tc>
          <w:tcPr>
            <w:tcW w:w="7849" w:type="dxa"/>
            <w:vAlign w:val="center"/>
          </w:tcPr>
          <w:p w:rsidR="00C71C39" w:rsidRPr="00142709" w:rsidRDefault="00C71C39" w:rsidP="008C60BC">
            <w:pPr>
              <w:autoSpaceDE w:val="0"/>
              <w:autoSpaceDN w:val="0"/>
              <w:adjustRightInd w:val="0"/>
              <w:rPr>
                <w:rFonts w:ascii="仿宋" w:eastAsia="仿宋" w:hAnsi="仿宋"/>
              </w:rPr>
            </w:pPr>
            <w:r w:rsidRPr="00142709">
              <w:rPr>
                <w:rFonts w:ascii="仿宋" w:eastAsia="仿宋" w:hAnsi="仿宋" w:hint="eastAsia"/>
              </w:rPr>
              <w:t>《</w:t>
            </w:r>
            <w:r w:rsidRPr="009979FB">
              <w:rPr>
                <w:rFonts w:ascii="仿宋" w:eastAsia="仿宋" w:hAnsi="仿宋" w:hint="eastAsia"/>
              </w:rPr>
              <w:t>重大慢病中西医结合精准诊疗关键技术创新与应用</w:t>
            </w:r>
            <w:r w:rsidRPr="00142709">
              <w:rPr>
                <w:rFonts w:ascii="仿宋" w:eastAsia="仿宋" w:hAnsi="仿宋" w:hint="eastAsia"/>
              </w:rPr>
              <w:t>》项目相关技术已在多家单位应用于临床诊疗、科学研究和人才培养，有效提高了相关疾病临床中西医结合辨证论治的客观性和准确性，并促进了相关领域科研工作和人才培养，取得了良好的社会效益。</w:t>
            </w:r>
          </w:p>
          <w:p w:rsidR="00C71C39" w:rsidRPr="009979FB" w:rsidRDefault="00C71C39" w:rsidP="008C60BC">
            <w:pPr>
              <w:adjustRightInd w:val="0"/>
              <w:snapToGrid w:val="0"/>
              <w:jc w:val="center"/>
              <w:rPr>
                <w:rFonts w:ascii="仿宋" w:eastAsia="仿宋" w:hAnsi="仿宋"/>
              </w:rPr>
            </w:pPr>
          </w:p>
        </w:tc>
      </w:tr>
    </w:tbl>
    <w:p w:rsidR="00576653" w:rsidRPr="00C71C39" w:rsidRDefault="00576653"/>
    <w:sectPr w:rsidR="00576653" w:rsidRPr="00C71C39" w:rsidSect="00505F19">
      <w:pgSz w:w="11906" w:h="16838"/>
      <w:pgMar w:top="851" w:right="1800" w:bottom="851"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00F" w:rsidRDefault="00F7000F" w:rsidP="008A542F">
      <w:r>
        <w:separator/>
      </w:r>
    </w:p>
  </w:endnote>
  <w:endnote w:type="continuationSeparator" w:id="1">
    <w:p w:rsidR="00F7000F" w:rsidRDefault="00F7000F" w:rsidP="008A54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00F" w:rsidRDefault="00F7000F" w:rsidP="008A542F">
      <w:r>
        <w:separator/>
      </w:r>
    </w:p>
  </w:footnote>
  <w:footnote w:type="continuationSeparator" w:id="1">
    <w:p w:rsidR="00F7000F" w:rsidRDefault="00F7000F" w:rsidP="008A54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1C39"/>
    <w:rsid w:val="00266D19"/>
    <w:rsid w:val="00505F19"/>
    <w:rsid w:val="005548A2"/>
    <w:rsid w:val="00576653"/>
    <w:rsid w:val="006A4F1E"/>
    <w:rsid w:val="008A542F"/>
    <w:rsid w:val="00B74462"/>
    <w:rsid w:val="00C71C39"/>
    <w:rsid w:val="00D078BF"/>
    <w:rsid w:val="00E403FE"/>
    <w:rsid w:val="00F01E4F"/>
    <w:rsid w:val="00F700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C39"/>
    <w:pPr>
      <w:widowControl w:val="0"/>
      <w:jc w:val="both"/>
    </w:pPr>
    <w:rPr>
      <w:rFonts w:ascii="Calibri" w:eastAsia="宋体" w:hAnsi="Calibri" w:cs="Times New Roman"/>
      <w:szCs w:val="24"/>
    </w:rPr>
  </w:style>
  <w:style w:type="paragraph" w:styleId="1">
    <w:name w:val="heading 1"/>
    <w:basedOn w:val="a"/>
    <w:next w:val="a"/>
    <w:link w:val="1Char"/>
    <w:qFormat/>
    <w:rsid w:val="00C71C39"/>
    <w:pPr>
      <w:keepNext/>
      <w:jc w:val="center"/>
      <w:outlineLvl w:val="0"/>
    </w:pPr>
    <w:rPr>
      <w:rFonts w:ascii="仿宋_GB2312" w:eastAsia="仿宋_GB2312" w:hAnsi="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71C39"/>
    <w:rPr>
      <w:rFonts w:ascii="仿宋_GB2312" w:eastAsia="仿宋_GB2312" w:hAnsi="Times New Roman" w:cs="Times New Roman"/>
      <w:kern w:val="0"/>
      <w:sz w:val="28"/>
      <w:szCs w:val="20"/>
    </w:rPr>
  </w:style>
  <w:style w:type="paragraph" w:styleId="a3">
    <w:name w:val="header"/>
    <w:basedOn w:val="a"/>
    <w:link w:val="Char"/>
    <w:uiPriority w:val="99"/>
    <w:semiHidden/>
    <w:unhideWhenUsed/>
    <w:rsid w:val="008A54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542F"/>
    <w:rPr>
      <w:rFonts w:ascii="Calibri" w:eastAsia="宋体" w:hAnsi="Calibri" w:cs="Times New Roman"/>
      <w:sz w:val="18"/>
      <w:szCs w:val="18"/>
    </w:rPr>
  </w:style>
  <w:style w:type="paragraph" w:styleId="a4">
    <w:name w:val="footer"/>
    <w:basedOn w:val="a"/>
    <w:link w:val="Char0"/>
    <w:uiPriority w:val="99"/>
    <w:semiHidden/>
    <w:unhideWhenUsed/>
    <w:rsid w:val="008A54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542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2832</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autumn</dc:creator>
  <cp:lastModifiedBy>sunkehuan</cp:lastModifiedBy>
  <cp:revision>2</cp:revision>
  <cp:lastPrinted>2019-08-22T09:02:00Z</cp:lastPrinted>
  <dcterms:created xsi:type="dcterms:W3CDTF">2019-09-04T09:13:00Z</dcterms:created>
  <dcterms:modified xsi:type="dcterms:W3CDTF">2019-09-04T09:13:00Z</dcterms:modified>
</cp:coreProperties>
</file>