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广东省基层中医药适宜技术推广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eastAsia="zh-CN"/>
        </w:rPr>
        <w:t>视频网络平台暨基地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</w:rPr>
        <w:t>考核指标</w:t>
      </w:r>
      <w:bookmarkEnd w:id="0"/>
    </w:p>
    <w:tbl>
      <w:tblPr>
        <w:tblStyle w:val="4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       目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一、组织领导(15分）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1、制定年度实施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方案与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计划（5分）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2、制定基地管理制度（5分）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3、设置医院方和医政工作专门领导负责人（5分）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二、基本功能（15分）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1、设有示教室（2.5）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2、具有网络视频能力（4）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3、示教室面积（4）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4、配备的基本设备（4.5）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三、临床带教能力（10分）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1、专业师资人数（2分）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2、师资人员中副高以上职称人数（2分）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3、设有专门临床实践科室（2分）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4、有临床带教制度（2分）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5、为学员提供适宜技术手册（第一、二、三册数量）（2分）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四、课程设置情况（10分）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1、第一册培训学时（2.5）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2、第二册培训学时（2.5）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3、第三册推广技术数（2.5）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4、本地遴选的技术（2.5）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五、培训效果（25分）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1、培养覆盖面（8分）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培训人数（8分）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3、推广技术数（9分）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六、经费保障（10分）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1、合理使用经费（5分）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2、配套经费（5分）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七、工作台帐（15分）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1、按时报送有关材料（5分）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2、建立工作档案（5分）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3、及时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总结工作（5分）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textAlignment w:val="auto"/>
        <w:outlineLvl w:val="9"/>
      </w:pPr>
    </w:p>
    <w:p>
      <w:pPr>
        <w:autoSpaceDN w:val="0"/>
        <w:spacing w:line="345" w:lineRule="atLeast"/>
        <w:jc w:val="left"/>
        <w:rPr>
          <w:rFonts w:hint="eastAsia"/>
          <w:color w:val="FF0000"/>
          <w:sz w:val="28"/>
        </w:rPr>
      </w:pPr>
    </w:p>
    <w:p>
      <w:pPr>
        <w:autoSpaceDN w:val="0"/>
        <w:spacing w:line="345" w:lineRule="atLeast"/>
        <w:jc w:val="left"/>
        <w:rPr>
          <w:rFonts w:hint="eastAsia"/>
          <w:color w:val="FF0000"/>
          <w:sz w:val="28"/>
        </w:rPr>
      </w:pPr>
    </w:p>
    <w:p>
      <w:pPr>
        <w:autoSpaceDN w:val="0"/>
        <w:spacing w:line="345" w:lineRule="atLeast"/>
        <w:jc w:val="left"/>
        <w:rPr>
          <w:rFonts w:hint="eastAsia"/>
          <w:color w:val="FF0000"/>
          <w:sz w:val="28"/>
        </w:rPr>
      </w:pPr>
    </w:p>
    <w:p>
      <w:pPr>
        <w:autoSpaceDN w:val="0"/>
        <w:spacing w:line="345" w:lineRule="atLeast"/>
        <w:jc w:val="left"/>
        <w:rPr>
          <w:rFonts w:hint="eastAsia"/>
          <w:color w:val="FF0000"/>
          <w:sz w:val="28"/>
        </w:rPr>
      </w:pPr>
    </w:p>
    <w:p>
      <w:pPr>
        <w:jc w:val="both"/>
      </w:pPr>
    </w:p>
    <w:p/>
    <w:p>
      <w:pPr>
        <w:spacing w:beforeLines="0" w:afterLines="0" w:line="574" w:lineRule="exact"/>
        <w:ind w:firstLine="0" w:firstLineChars="0"/>
        <w:rPr>
          <w:rFonts w:hint="eastAsia" w:ascii="仿宋_GB2312" w:hAnsi="仿宋" w:eastAsia="仿宋_GB2312"/>
          <w:sz w:val="30"/>
          <w:szCs w:val="30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p>
      <w:pPr>
        <w:spacing w:beforeLines="0" w:afterLines="0" w:line="574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45A1"/>
    <w:rsid w:val="0AAC3852"/>
    <w:rsid w:val="0F1933A9"/>
    <w:rsid w:val="1C401B3C"/>
    <w:rsid w:val="1F8C14F2"/>
    <w:rsid w:val="24826849"/>
    <w:rsid w:val="28AF344A"/>
    <w:rsid w:val="2D361374"/>
    <w:rsid w:val="46E723E0"/>
    <w:rsid w:val="49502F2B"/>
    <w:rsid w:val="4A8245A1"/>
    <w:rsid w:val="51801F1B"/>
    <w:rsid w:val="5A4D680C"/>
    <w:rsid w:val="604012B8"/>
    <w:rsid w:val="79E3321F"/>
    <w:rsid w:val="7F2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2018-01-23T03:31:00Z</dcterms:created>
  <dc:creator>李峰</dc:creator>
  <cp:lastModifiedBy>卢玲</cp:lastModifiedBy>
  <dcterms:modified xsi:type="dcterms:W3CDTF">2018-01-23T07:56:01Z</dcterms:modified>
  <dc:title>粤中医办函〔2018〕16号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