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宋体" w:hAnsi="宋体" w:eastAsia="宋体" w:cs="宋体"/>
          <w:b/>
          <w:bCs/>
          <w:sz w:val="36"/>
          <w:szCs w:val="36"/>
        </w:rPr>
      </w:pPr>
      <w:r>
        <w:rPr>
          <w:rFonts w:hint="eastAsia" w:ascii="宋体" w:hAnsi="宋体" w:eastAsia="宋体" w:cs="宋体"/>
          <w:b/>
          <w:bCs/>
          <w:sz w:val="36"/>
          <w:szCs w:val="36"/>
        </w:rPr>
        <w:t>2018年度广东省科学技术奖公示表</w:t>
      </w:r>
    </w:p>
    <w:p/>
    <w:tbl>
      <w:tblPr>
        <w:tblStyle w:val="7"/>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r>
              <w:rPr>
                <w:rFonts w:hint="eastAsia" w:ascii="仿宋" w:hAnsi="仿宋" w:eastAsia="仿宋"/>
                <w:b w:val="0"/>
                <w:bCs w:val="0"/>
              </w:rPr>
              <w:t>项目名称</w:t>
            </w:r>
          </w:p>
        </w:tc>
        <w:tc>
          <w:tcPr>
            <w:tcW w:w="7849" w:type="dxa"/>
            <w:vAlign w:val="center"/>
          </w:tcPr>
          <w:p>
            <w:pPr>
              <w:spacing w:line="360" w:lineRule="auto"/>
              <w:jc w:val="center"/>
              <w:rPr>
                <w:rFonts w:ascii="仿宋" w:hAnsi="仿宋" w:eastAsia="仿宋"/>
                <w:b w:val="0"/>
                <w:bCs w:val="0"/>
              </w:rPr>
            </w:pPr>
            <w:bookmarkStart w:id="0" w:name="_GoBack"/>
            <w:r>
              <w:rPr>
                <w:rFonts w:hint="eastAsia" w:ascii="仿宋" w:hAnsi="仿宋" w:eastAsia="仿宋"/>
                <w:b w:val="0"/>
                <w:bCs w:val="0"/>
              </w:rPr>
              <w:t>补心泻肺法治疗慢性心衰的理论创新与临床研究</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snapToGrid w:val="0"/>
              <w:jc w:val="center"/>
              <w:rPr>
                <w:rFonts w:ascii="仿宋" w:hAnsi="仿宋" w:eastAsia="仿宋"/>
                <w:b w:val="0"/>
                <w:bCs w:val="0"/>
              </w:rPr>
            </w:pPr>
            <w:r>
              <w:rPr>
                <w:rFonts w:hint="eastAsia" w:ascii="仿宋" w:hAnsi="仿宋" w:eastAsia="仿宋"/>
                <w:b w:val="0"/>
                <w:bCs w:val="0"/>
              </w:rPr>
              <w:t>主要完成单位</w:t>
            </w:r>
          </w:p>
        </w:tc>
        <w:tc>
          <w:tcPr>
            <w:tcW w:w="7849" w:type="dxa"/>
            <w:vAlign w:val="center"/>
          </w:tcPr>
          <w:tbl>
            <w:tblPr>
              <w:tblStyle w:val="7"/>
              <w:tblW w:w="10723" w:type="dxa"/>
              <w:tblInd w:w="0" w:type="dxa"/>
              <w:tblLayout w:type="fixed"/>
              <w:tblCellMar>
                <w:top w:w="0" w:type="dxa"/>
                <w:left w:w="0" w:type="dxa"/>
                <w:bottom w:w="0" w:type="dxa"/>
                <w:right w:w="0" w:type="dxa"/>
              </w:tblCellMar>
            </w:tblPr>
            <w:tblGrid>
              <w:gridCol w:w="10723"/>
            </w:tblGrid>
            <w:tr>
              <w:tblPrEx>
                <w:tblLayout w:type="fixed"/>
                <w:tblCellMar>
                  <w:top w:w="0" w:type="dxa"/>
                  <w:left w:w="0" w:type="dxa"/>
                  <w:bottom w:w="0" w:type="dxa"/>
                  <w:right w:w="0" w:type="dxa"/>
                </w:tblCellMar>
              </w:tblPrEx>
              <w:trPr>
                <w:trHeight w:val="348" w:hRule="atLeast"/>
              </w:trPr>
              <w:tc>
                <w:tcPr>
                  <w:tcW w:w="10723" w:type="dxa"/>
                  <w:tcBorders>
                    <w:top w:val="single" w:color="DDDDDD" w:sz="4" w:space="0"/>
                    <w:left w:val="single" w:color="DDDDDD" w:sz="4" w:space="0"/>
                    <w:bottom w:val="single" w:color="DDDDDD" w:sz="4" w:space="0"/>
                    <w:right w:val="single" w:color="DDDDDD" w:sz="4" w:space="0"/>
                  </w:tcBorders>
                  <w:shd w:val="clear" w:color="auto" w:fill="F9F9F9"/>
                  <w:tcMar>
                    <w:top w:w="72" w:type="dxa"/>
                    <w:left w:w="72" w:type="dxa"/>
                    <w:bottom w:w="72" w:type="dxa"/>
                    <w:right w:w="72" w:type="dxa"/>
                  </w:tcMar>
                  <w:vAlign w:val="center"/>
                </w:tcPr>
                <w:p>
                  <w:pPr>
                    <w:widowControl/>
                    <w:spacing w:line="192" w:lineRule="atLeast"/>
                    <w:jc w:val="left"/>
                    <w:textAlignment w:val="center"/>
                    <w:rPr>
                      <w:rFonts w:ascii="微软雅黑" w:hAnsi="微软雅黑" w:eastAsia="微软雅黑" w:cs="微软雅黑"/>
                      <w:b w:val="0"/>
                      <w:bCs w:val="0"/>
                      <w:color w:val="333333"/>
                      <w:sz w:val="16"/>
                      <w:szCs w:val="16"/>
                    </w:rPr>
                  </w:pPr>
                  <w:r>
                    <w:rPr>
                      <w:rFonts w:hint="eastAsia" w:ascii="仿宋" w:hAnsi="仿宋" w:eastAsia="仿宋"/>
                      <w:b w:val="0"/>
                      <w:bCs w:val="0"/>
                    </w:rPr>
                    <w:t>广东省第二中医院（广东省中医药工程技术研究院）</w:t>
                  </w:r>
                </w:p>
              </w:tc>
            </w:tr>
          </w:tbl>
          <w:p>
            <w:pPr>
              <w:spacing w:line="360" w:lineRule="auto"/>
              <w:rPr>
                <w:rFonts w:ascii="仿宋" w:hAnsi="仿宋" w:eastAsia="仿宋"/>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spacing w:line="360" w:lineRule="auto"/>
              <w:jc w:val="center"/>
              <w:rPr>
                <w:rFonts w:ascii="仿宋" w:hAnsi="仿宋" w:eastAsia="仿宋"/>
                <w:b w:val="0"/>
                <w:bCs w:val="0"/>
              </w:rPr>
            </w:pPr>
          </w:p>
        </w:tc>
        <w:tc>
          <w:tcPr>
            <w:tcW w:w="7849" w:type="dxa"/>
            <w:vAlign w:val="center"/>
          </w:tcPr>
          <w:p>
            <w:pPr>
              <w:spacing w:line="360" w:lineRule="auto"/>
              <w:rPr>
                <w:rFonts w:ascii="仿宋" w:hAnsi="仿宋" w:eastAsia="仿宋" w:cs="宋体"/>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val="0"/>
                <w:bCs w:val="0"/>
              </w:rPr>
            </w:pPr>
            <w:r>
              <w:rPr>
                <w:rFonts w:hint="eastAsia" w:ascii="仿宋" w:hAnsi="仿宋" w:eastAsia="仿宋"/>
                <w:b w:val="0"/>
                <w:bCs w:val="0"/>
              </w:rPr>
              <w:t>主要完成人</w:t>
            </w:r>
          </w:p>
          <w:p>
            <w:pPr>
              <w:adjustRightInd w:val="0"/>
              <w:snapToGrid w:val="0"/>
              <w:jc w:val="center"/>
              <w:rPr>
                <w:rFonts w:ascii="仿宋" w:hAnsi="仿宋" w:eastAsia="仿宋"/>
                <w:b w:val="0"/>
                <w:bCs w:val="0"/>
              </w:rPr>
            </w:pPr>
            <w:r>
              <w:rPr>
                <w:rFonts w:hint="eastAsia" w:ascii="仿宋" w:hAnsi="仿宋" w:eastAsia="仿宋"/>
                <w:b w:val="0"/>
                <w:bCs w:val="0"/>
              </w:rPr>
              <w:t>（职称、完成单位、工作单位）</w:t>
            </w:r>
          </w:p>
        </w:tc>
        <w:tc>
          <w:tcPr>
            <w:tcW w:w="7849" w:type="dxa"/>
            <w:vAlign w:val="center"/>
          </w:tcPr>
          <w:p>
            <w:pPr>
              <w:widowControl/>
              <w:spacing w:line="192" w:lineRule="atLeast"/>
              <w:jc w:val="left"/>
              <w:textAlignment w:val="center"/>
              <w:rPr>
                <w:rFonts w:ascii="仿宋" w:hAnsi="仿宋" w:eastAsia="仿宋"/>
                <w:b w:val="0"/>
                <w:bCs w:val="0"/>
              </w:rPr>
            </w:pPr>
            <w:r>
              <w:rPr>
                <w:rFonts w:hint="eastAsia" w:ascii="仿宋" w:hAnsi="仿宋" w:eastAsia="仿宋"/>
                <w:b w:val="0"/>
                <w:bCs w:val="0"/>
              </w:rPr>
              <w:t>1.王清海（主任中医师、教授，广东省第二中医院、项目第一完成人）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widowControl/>
              <w:spacing w:line="192" w:lineRule="atLeast"/>
              <w:jc w:val="left"/>
              <w:textAlignment w:val="center"/>
              <w:rPr>
                <w:rFonts w:ascii="仿宋" w:hAnsi="仿宋" w:eastAsia="仿宋"/>
                <w:b w:val="0"/>
                <w:bCs w:val="0"/>
              </w:rPr>
            </w:pPr>
            <w:r>
              <w:rPr>
                <w:rFonts w:hint="eastAsia" w:ascii="仿宋" w:hAnsi="仿宋" w:eastAsia="仿宋"/>
                <w:b w:val="0"/>
                <w:bCs w:val="0"/>
              </w:rPr>
              <w:t>2.靳利利（主任中医师、教授，广东省第二中医院、项目第二完成人）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3.方统念（副主任中医师、广东省第二中医院、项目第三完成人）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4.李典鸿（主任中医师、广东省第二中医院、项目第四完成人）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5.苏慧（副主任中医师、广东省第二中医院、项目第五完成人）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6.黄培红（副主任中医师、广东省第二中医院、项目第六完成人）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7.卞继芳（主任医师、广东省第二中医院、项目第七完成人）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8.袁丁（主任中医师、广东省第二中医院、项目第八完成人）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9.张蕾（主治中医师、广东省第二中医院、项目第九完成人）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10.赵自明（副主任中药师、广东省第二中医院、项目第十完成人）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r>
              <w:rPr>
                <w:rFonts w:hint="eastAsia" w:ascii="仿宋" w:hAnsi="仿宋" w:eastAsia="仿宋"/>
                <w:b w:val="0"/>
                <w:bCs w:val="0"/>
              </w:rPr>
              <w:t>11.杨琳（中医师、广东省第二中医院、项目第十一完成人）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1" w:hRule="atLeast"/>
          <w:jc w:val="center"/>
        </w:trPr>
        <w:tc>
          <w:tcPr>
            <w:tcW w:w="1615" w:type="dxa"/>
            <w:vAlign w:val="center"/>
          </w:tcPr>
          <w:p>
            <w:pPr>
              <w:adjustRightInd w:val="0"/>
              <w:snapToGrid w:val="0"/>
              <w:jc w:val="center"/>
              <w:rPr>
                <w:rFonts w:ascii="仿宋" w:hAnsi="仿宋" w:eastAsia="仿宋"/>
                <w:b w:val="0"/>
                <w:bCs w:val="0"/>
              </w:rPr>
            </w:pPr>
            <w:r>
              <w:rPr>
                <w:rFonts w:hint="eastAsia" w:ascii="仿宋" w:hAnsi="仿宋" w:eastAsia="仿宋"/>
                <w:b w:val="0"/>
                <w:bCs w:val="0"/>
              </w:rPr>
              <w:t>项目简介</w:t>
            </w:r>
          </w:p>
        </w:tc>
        <w:tc>
          <w:tcPr>
            <w:tcW w:w="7849" w:type="dxa"/>
            <w:vAlign w:val="center"/>
          </w:tcPr>
          <w:p>
            <w:pPr>
              <w:widowControl/>
              <w:spacing w:line="192" w:lineRule="atLeast"/>
              <w:ind w:firstLine="420" w:firstLineChars="200"/>
              <w:jc w:val="left"/>
              <w:textAlignment w:val="center"/>
              <w:rPr>
                <w:rFonts w:ascii="仿宋" w:hAnsi="仿宋" w:eastAsia="仿宋"/>
                <w:b w:val="0"/>
                <w:bCs w:val="0"/>
              </w:rPr>
            </w:pPr>
            <w:r>
              <w:rPr>
                <w:rFonts w:hint="eastAsia" w:ascii="仿宋" w:hAnsi="仿宋" w:eastAsia="仿宋"/>
                <w:b w:val="0"/>
                <w:bCs w:val="0"/>
              </w:rPr>
              <w:t>该项目是广东省第二中医院（广东省中医药工程技术研究院）19年来中医药对慢性心衰病机理论和治疗方法、药物临床试验研究成果。其科学性、创新性和先进性有五点：1、心衰中医病机理论创新：国内外首次阐明心衰的中医病机关键是心气先虚，肺水再郁，心肺同病，本虚标实。2.中医治疗心衰方法创新：基于心衰病心肺同病的关键病机，首创补心泻肺法治疗慢性心衰的理论，使心衰的辨证治疗更加精准，疗效更高，也为慢性心衰的中医药治疗开辟了新的思路与方法；3、临床评价标准创新：该项目历时19年，开展了1331例的大样本临床研究，并首次把2年病死率和再入院率作为评价中药治疗慢性心衰临床疗效的客观指标，突破了传统的临床评价模式，突出了中医药改善心衰的终极疗效； 4、治疗心衰的中药研究创新： 补心泻肺代表药物加味参附颗粒可靠的临床疗效，为开发治疗慢性心衰的中药新药提供坚实的临床基础。5、应用价值大：该成果已在广东省中医院等12家三级甲等医疗机构及县级中医院临床应用，并通过大型学术会议、培训班等形式在国内推广应用，取得了显著的社会效益。</w:t>
            </w:r>
          </w:p>
          <w:p>
            <w:pPr>
              <w:widowControl/>
              <w:spacing w:line="192" w:lineRule="atLeast"/>
              <w:ind w:firstLine="420" w:firstLineChars="200"/>
              <w:jc w:val="left"/>
              <w:textAlignment w:val="center"/>
              <w:rPr>
                <w:rFonts w:ascii="仿宋" w:hAnsi="仿宋" w:eastAsia="黑体"/>
                <w:b w:val="0"/>
                <w:bCs w:val="0"/>
              </w:rPr>
            </w:pPr>
            <w:r>
              <w:rPr>
                <w:rFonts w:hint="eastAsia" w:ascii="仿宋" w:hAnsi="仿宋" w:eastAsia="仿宋"/>
                <w:b w:val="0"/>
                <w:bCs w:val="0"/>
              </w:rPr>
              <w:t>经同行专家组评价，认为该成果在中医药防治慢性心衰的理论创新与应用研究方面居于国内同类研究的领先水平，将对推动中医药防治慢性心衰的理论研究和临床应用具有重大意义。建议推荐申报广东省科学技术进步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val="0"/>
                <w:bCs w:val="0"/>
              </w:rPr>
            </w:pPr>
            <w:r>
              <w:rPr>
                <w:rFonts w:hint="eastAsia" w:ascii="仿宋" w:hAnsi="仿宋" w:eastAsia="仿宋"/>
                <w:b w:val="0"/>
                <w:bCs w:val="0"/>
              </w:rPr>
              <w:t>代表性论文</w:t>
            </w:r>
          </w:p>
          <w:p>
            <w:pPr>
              <w:adjustRightInd w:val="0"/>
              <w:snapToGrid w:val="0"/>
              <w:jc w:val="center"/>
              <w:rPr>
                <w:rFonts w:ascii="仿宋" w:hAnsi="仿宋" w:eastAsia="仿宋"/>
                <w:b w:val="0"/>
                <w:bCs w:val="0"/>
              </w:rPr>
            </w:pPr>
            <w:r>
              <w:rPr>
                <w:rFonts w:hint="eastAsia" w:ascii="仿宋" w:hAnsi="仿宋" w:eastAsia="仿宋"/>
                <w:b w:val="0"/>
                <w:bCs w:val="0"/>
              </w:rPr>
              <w:t>专著目录</w:t>
            </w: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论文1.李典鸿等，加味参附颗粒治疗冠心病合并心功能不全疗效观察.实用中医内科杂志,2009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论文2：靳利利等，加味参附颗粒对慢性心功能不全患者心功能及血浆脑钠肽的影响.广州中医药大学学报,2011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论文3：袁丁等，加味参附颗粒治疗慢性心力衰竭疗效分析.吉林中医药,2011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论文4：苏慧等，加味参附颗粒改善慢性心力衰竭患者生存质量的临床研究.福建中医药,2011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论文5：黄培红等，加味参附颗粒对慢性心力衰竭患者预后的影响.福建中医药,2011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论文6：卞继芳等，加味参附颗粒对急性心梗介入后BNP CRP及心功能改善的疗效观察 云南中医中药杂志, 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论文7：靳利利等，加味参附颗粒对慢性心力衰竭大鼠心肌超微结构的影响.中国中医急症,2014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论文8：方统念等，加味参附颗粒对严重脓毒症患者血流动力学和氧代谢的影响.山东中医药大学学报,2016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论文9：方统念等，中西医联合用药方案强化脓毒症心肌损伤保护的效果研究.重庆医学,2017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仿宋" w:hAnsi="仿宋" w:eastAsia="仿宋"/>
                <w:b w:val="0"/>
                <w:bCs w:val="0"/>
              </w:rPr>
            </w:pPr>
          </w:p>
        </w:tc>
        <w:tc>
          <w:tcPr>
            <w:tcW w:w="7849" w:type="dxa"/>
            <w:vAlign w:val="center"/>
          </w:tcPr>
          <w:p>
            <w:pPr>
              <w:pStyle w:val="11"/>
              <w:ind w:firstLine="0" w:firstLineChars="0"/>
              <w:rPr>
                <w:rFonts w:ascii="仿宋" w:hAnsi="仿宋" w:eastAsia="仿宋"/>
                <w:b w:val="0"/>
                <w:bCs w:val="0"/>
              </w:rPr>
            </w:pPr>
            <w:r>
              <w:rPr>
                <w:rFonts w:hint="eastAsia" w:ascii="仿宋" w:hAnsi="仿宋" w:eastAsia="仿宋"/>
                <w:b w:val="0"/>
                <w:bCs w:val="0"/>
              </w:rPr>
              <w:t>论文10：方统念等，温阳益气法对严重脓毒症患者PiCCO监测指标的影响.中国中医急症，2017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val="0"/>
                <w:bCs w:val="0"/>
              </w:rPr>
            </w:pPr>
            <w:r>
              <w:rPr>
                <w:rFonts w:hint="eastAsia" w:ascii="仿宋" w:hAnsi="仿宋" w:eastAsia="仿宋"/>
                <w:b w:val="0"/>
                <w:bCs w:val="0"/>
              </w:rPr>
              <w:t>知识产权名称</w:t>
            </w:r>
          </w:p>
        </w:tc>
        <w:tc>
          <w:tcPr>
            <w:tcW w:w="7849" w:type="dxa"/>
            <w:vAlign w:val="center"/>
          </w:tcPr>
          <w:p>
            <w:pPr>
              <w:widowControl/>
              <w:spacing w:line="192" w:lineRule="atLeast"/>
              <w:jc w:val="left"/>
              <w:textAlignment w:val="center"/>
              <w:rPr>
                <w:rFonts w:ascii="仿宋" w:hAnsi="仿宋" w:eastAsia="仿宋"/>
                <w:b w:val="0"/>
                <w:bCs w:val="0"/>
              </w:rPr>
            </w:pPr>
            <w:r>
              <w:rPr>
                <w:rFonts w:hint="eastAsia" w:ascii="仿宋" w:hAnsi="仿宋" w:eastAsia="仿宋"/>
                <w:b w:val="0"/>
                <w:bCs w:val="0"/>
              </w:rPr>
              <w:t>专利：&lt;一种治疗心力衰竭的中药组合物及其制备方法&gt;（ZL 2007 1 0028544.9）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rPr>
                <w:rFonts w:ascii="仿宋" w:hAnsi="仿宋" w:eastAsia="仿宋"/>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val="0"/>
                <w:bCs w:val="0"/>
              </w:rPr>
            </w:pPr>
          </w:p>
        </w:tc>
        <w:tc>
          <w:tcPr>
            <w:tcW w:w="7849" w:type="dxa"/>
            <w:vAlign w:val="center"/>
          </w:tcPr>
          <w:p>
            <w:pPr>
              <w:adjustRightInd w:val="0"/>
              <w:snapToGrid w:val="0"/>
              <w:jc w:val="left"/>
              <w:rPr>
                <w:rFonts w:ascii="仿宋" w:hAnsi="仿宋" w:eastAsia="仿宋"/>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jc w:val="center"/>
        </w:trPr>
        <w:tc>
          <w:tcPr>
            <w:tcW w:w="1615" w:type="dxa"/>
            <w:vAlign w:val="center"/>
          </w:tcPr>
          <w:p>
            <w:pPr>
              <w:adjustRightInd w:val="0"/>
              <w:snapToGrid w:val="0"/>
              <w:jc w:val="center"/>
              <w:rPr>
                <w:rFonts w:ascii="仿宋" w:hAnsi="仿宋" w:eastAsia="仿宋"/>
                <w:b w:val="0"/>
                <w:bCs w:val="0"/>
              </w:rPr>
            </w:pPr>
            <w:r>
              <w:rPr>
                <w:rFonts w:hint="eastAsia" w:ascii="仿宋" w:hAnsi="仿宋" w:eastAsia="仿宋"/>
                <w:b w:val="0"/>
                <w:bCs w:val="0"/>
              </w:rPr>
              <w:t>推广应用情况</w:t>
            </w:r>
          </w:p>
        </w:tc>
        <w:tc>
          <w:tcPr>
            <w:tcW w:w="7849" w:type="dxa"/>
            <w:vAlign w:val="center"/>
          </w:tcPr>
          <w:p>
            <w:pPr>
              <w:widowControl/>
              <w:spacing w:line="192" w:lineRule="atLeast"/>
              <w:jc w:val="left"/>
              <w:textAlignment w:val="center"/>
              <w:rPr>
                <w:rFonts w:ascii="仿宋" w:hAnsi="仿宋" w:eastAsia="仿宋"/>
                <w:b w:val="0"/>
                <w:bCs w:val="0"/>
              </w:rPr>
            </w:pPr>
            <w:r>
              <w:rPr>
                <w:rFonts w:hint="eastAsia" w:ascii="仿宋" w:hAnsi="仿宋" w:eastAsia="仿宋"/>
                <w:b w:val="0"/>
                <w:bCs w:val="0"/>
              </w:rPr>
              <w:t>会议推广：目前为止，本项目提出的补心泻肺法治疗慢性心衰的理论已经在中国南方国际心血管会议、中国南方中医心血管会议、中国中西医结合心血管会议、中国长城国际心血管会议、澳洲中医学会会议等国内外大型学术会议进行30余次宣讲和交流，得到了与会专家的高度认同。</w:t>
            </w:r>
          </w:p>
          <w:p>
            <w:pPr>
              <w:widowControl/>
              <w:spacing w:line="192" w:lineRule="atLeast"/>
              <w:jc w:val="left"/>
              <w:textAlignment w:val="center"/>
              <w:rPr>
                <w:rFonts w:ascii="仿宋" w:hAnsi="仿宋" w:eastAsia="仿宋"/>
                <w:b w:val="0"/>
                <w:bCs w:val="0"/>
              </w:rPr>
            </w:pPr>
            <w:r>
              <w:rPr>
                <w:rFonts w:hint="eastAsia" w:ascii="仿宋" w:hAnsi="仿宋" w:eastAsia="仿宋"/>
                <w:b w:val="0"/>
                <w:bCs w:val="0"/>
              </w:rPr>
              <w:t>培训班推广：已连续多次在深圳、南宁、北京等地举办的国家级中医药继续教育项目培训班上推广和培训，对补心泻肺法治疗心衰的机制理论和方药有了更深入的理解和认识。</w:t>
            </w:r>
          </w:p>
          <w:p>
            <w:pPr>
              <w:widowControl/>
              <w:spacing w:line="192" w:lineRule="atLeast"/>
              <w:jc w:val="left"/>
              <w:textAlignment w:val="center"/>
              <w:rPr>
                <w:rFonts w:ascii="仿宋" w:hAnsi="仿宋" w:eastAsia="仿宋"/>
                <w:b w:val="0"/>
                <w:bCs w:val="0"/>
              </w:rPr>
            </w:pPr>
            <w:r>
              <w:rPr>
                <w:rFonts w:hint="eastAsia" w:ascii="仿宋" w:hAnsi="仿宋" w:eastAsia="仿宋"/>
                <w:b w:val="0"/>
                <w:bCs w:val="0"/>
              </w:rPr>
              <w:t>临床推广应用：1.在三甲大型医院推广应用：本项目在北京东直门医院、广东省中医院、广州中医药大学第一附属院、河南省中医研究院附属医院、长春中医药大学附属医院、广西瑞康医院，以及广东省第二中医院、广州市中医院、暨南大学华侨医院、中山大学一附院等12家三级甲等中医或综合医院中医科，推广应用补心泻肺法治疗慢性心衰的创新理论，平均每年接受该方法治疗的慢性心衰患者超过4余万人次，取得了良好的社会效益。2.利用对口帮扶在基层中医院推广应用：根据广东省卫计委、省中医管理局的安排，近年分别在龙川县中医院、怀集县中医院、广宁县中医院，等县级中医院，以及潮汕、广州、佛山、肇庆地区的基层适宜技术骨干师资培训班推广应用，取得满意的疗效，业界反响热烈。</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00"/>
    <w:rsid w:val="000B723F"/>
    <w:rsid w:val="00424DFF"/>
    <w:rsid w:val="004277D2"/>
    <w:rsid w:val="0044753F"/>
    <w:rsid w:val="0045754D"/>
    <w:rsid w:val="0056305A"/>
    <w:rsid w:val="005C7D00"/>
    <w:rsid w:val="00641B99"/>
    <w:rsid w:val="007D3B19"/>
    <w:rsid w:val="009C5F47"/>
    <w:rsid w:val="00C9515B"/>
    <w:rsid w:val="00E62010"/>
    <w:rsid w:val="09E1616F"/>
    <w:rsid w:val="11DB1975"/>
    <w:rsid w:val="38CE5408"/>
    <w:rsid w:val="3F2748DC"/>
    <w:rsid w:val="456E23B6"/>
    <w:rsid w:val="4C1B0A02"/>
    <w:rsid w:val="57276CBF"/>
    <w:rsid w:val="6609112A"/>
    <w:rsid w:val="78BA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8"/>
    <w:qFormat/>
    <w:uiPriority w:val="0"/>
    <w:pPr>
      <w:keepNext/>
      <w:jc w:val="center"/>
      <w:outlineLvl w:val="0"/>
    </w:pPr>
    <w:rPr>
      <w:rFonts w:ascii="仿宋_GB2312" w:hAnsi="Times New Roman" w:eastAsia="仿宋_GB2312"/>
      <w:kern w:val="0"/>
      <w:sz w:val="28"/>
      <w:szCs w:val="20"/>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endnote text"/>
    <w:basedOn w:val="1"/>
    <w:unhideWhenUsed/>
    <w:qFormat/>
    <w:uiPriority w:val="0"/>
    <w:pPr>
      <w:snapToGrid w:val="0"/>
      <w:jc w:val="left"/>
    </w:pPr>
    <w:rPr>
      <w:rFonts w:ascii="等线" w:hAnsi="等线" w:eastAsia="等线"/>
      <w:szCs w:val="2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Char"/>
    <w:basedOn w:val="6"/>
    <w:link w:val="2"/>
    <w:qFormat/>
    <w:uiPriority w:val="0"/>
    <w:rPr>
      <w:rFonts w:ascii="仿宋_GB2312" w:hAnsi="Times New Roman" w:eastAsia="仿宋_GB2312" w:cs="Times New Roman"/>
      <w:kern w:val="0"/>
      <w:sz w:val="28"/>
      <w:szCs w:val="20"/>
    </w:rPr>
  </w:style>
  <w:style w:type="character" w:customStyle="1" w:styleId="9">
    <w:name w:val="页眉 Char"/>
    <w:basedOn w:val="6"/>
    <w:link w:val="5"/>
    <w:semiHidden/>
    <w:qFormat/>
    <w:uiPriority w:val="99"/>
    <w:rPr>
      <w:rFonts w:ascii="Calibri" w:hAnsi="Calibri"/>
      <w:kern w:val="2"/>
      <w:sz w:val="18"/>
      <w:szCs w:val="18"/>
    </w:rPr>
  </w:style>
  <w:style w:type="character" w:customStyle="1" w:styleId="10">
    <w:name w:val="页脚 Char"/>
    <w:basedOn w:val="6"/>
    <w:link w:val="4"/>
    <w:semiHidden/>
    <w:qFormat/>
    <w:uiPriority w:val="99"/>
    <w:rPr>
      <w:rFonts w:ascii="Calibri" w:hAnsi="Calibri"/>
      <w:kern w:val="2"/>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315</Words>
  <Characters>1798</Characters>
  <Lines>14</Lines>
  <Paragraphs>4</Paragraphs>
  <TotalTime>1</TotalTime>
  <ScaleCrop>false</ScaleCrop>
  <LinksUpToDate>false</LinksUpToDate>
  <CharactersWithSpaces>2109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2018-10-31T03:11:00Z</dcterms:created>
  <dc:creator>微软用户</dc:creator>
  <cp:lastModifiedBy>李文波</cp:lastModifiedBy>
  <cp:lastPrinted>2018-11-06T07:33:00Z</cp:lastPrinted>
  <dcterms:modified xsi:type="dcterms:W3CDTF">2018-11-06T07:33:19Z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