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宋体" w:hAnsi="宋体" w:eastAsia="宋体" w:cs="宋体"/>
          <w:b/>
          <w:bCs/>
          <w:sz w:val="36"/>
          <w:szCs w:val="36"/>
        </w:rPr>
      </w:pPr>
      <w:r>
        <w:rPr>
          <w:rFonts w:hint="eastAsia" w:ascii="宋体" w:hAnsi="宋体" w:eastAsia="宋体" w:cs="宋体"/>
          <w:b/>
          <w:bCs/>
          <w:sz w:val="36"/>
          <w:szCs w:val="36"/>
        </w:rPr>
        <w:t>2018年度广东省科学技术奖公示表</w:t>
      </w:r>
    </w:p>
    <w:p/>
    <w:tbl>
      <w:tblPr>
        <w:tblStyle w:val="6"/>
        <w:tblW w:w="95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78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Align w:val="center"/>
          </w:tcPr>
          <w:p>
            <w:pPr>
              <w:adjustRightInd w:val="0"/>
              <w:snapToGrid w:val="0"/>
              <w:jc w:val="center"/>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项目名称</w:t>
            </w:r>
          </w:p>
        </w:tc>
        <w:tc>
          <w:tcPr>
            <w:tcW w:w="7895" w:type="dxa"/>
            <w:vAlign w:val="center"/>
          </w:tcPr>
          <w:p>
            <w:pPr>
              <w:spacing w:line="276" w:lineRule="auto"/>
              <w:jc w:val="left"/>
              <w:rPr>
                <w:rFonts w:ascii="宋体" w:hAnsi="宋体" w:cs="宋体"/>
                <w:color w:val="000000" w:themeColor="text1"/>
                <w:kern w:val="0"/>
                <w:sz w:val="28"/>
                <w:szCs w:val="28"/>
              </w:rPr>
            </w:pPr>
            <w:bookmarkStart w:id="0" w:name="_GoBack"/>
            <w:r>
              <w:rPr>
                <w:rFonts w:hint="eastAsia" w:ascii="宋体" w:hAnsi="宋体" w:cs="宋体"/>
                <w:color w:val="000000" w:themeColor="text1"/>
                <w:kern w:val="0"/>
                <w:sz w:val="28"/>
                <w:szCs w:val="28"/>
              </w:rPr>
              <w:t>动正整脊手法治疗脊柱相关疾病的诊疗策略应用与推广</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restart"/>
            <w:vAlign w:val="center"/>
          </w:tcPr>
          <w:p>
            <w:pPr>
              <w:adjustRightInd w:val="0"/>
              <w:snapToGrid w:val="0"/>
              <w:jc w:val="center"/>
              <w:rPr>
                <w:rFonts w:ascii="仿宋" w:hAnsi="仿宋" w:eastAsia="仿宋"/>
              </w:rPr>
            </w:pPr>
            <w:r>
              <w:rPr>
                <w:rFonts w:hint="eastAsia" w:asciiTheme="minorEastAsia" w:hAnsiTheme="minorEastAsia" w:eastAsiaTheme="minorEastAsia"/>
                <w:b/>
                <w:bCs/>
                <w:sz w:val="28"/>
                <w:szCs w:val="28"/>
              </w:rPr>
              <w:t>主要完成单位</w:t>
            </w:r>
          </w:p>
        </w:tc>
        <w:tc>
          <w:tcPr>
            <w:tcW w:w="7895" w:type="dxa"/>
            <w:vAlign w:val="center"/>
          </w:tcPr>
          <w:p>
            <w:pPr>
              <w:spacing w:line="276" w:lineRule="auto"/>
              <w:rPr>
                <w:rFonts w:ascii="宋体" w:hAnsi="宋体" w:cs="宋体"/>
                <w:color w:val="000000" w:themeColor="text1"/>
                <w:kern w:val="0"/>
                <w:sz w:val="28"/>
                <w:szCs w:val="28"/>
              </w:rPr>
            </w:pPr>
            <w:r>
              <w:rPr>
                <w:rFonts w:hint="eastAsia" w:ascii="宋体" w:hAnsi="宋体" w:cs="宋体"/>
                <w:color w:val="000000" w:themeColor="text1"/>
                <w:kern w:val="0"/>
                <w:sz w:val="28"/>
                <w:szCs w:val="28"/>
              </w:rPr>
              <w:t>单位1：广东省第二中医院（广东省中医药工程技术研究院）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spacing w:line="360" w:lineRule="auto"/>
              <w:jc w:val="center"/>
              <w:rPr>
                <w:rFonts w:ascii="仿宋" w:hAnsi="仿宋" w:eastAsia="仿宋"/>
                <w:b/>
                <w:bCs/>
              </w:rPr>
            </w:pPr>
          </w:p>
        </w:tc>
        <w:tc>
          <w:tcPr>
            <w:tcW w:w="7895" w:type="dxa"/>
            <w:vAlign w:val="center"/>
          </w:tcPr>
          <w:p>
            <w:pPr>
              <w:spacing w:line="276" w:lineRule="auto"/>
              <w:rPr>
                <w:rFonts w:ascii="宋体" w:hAnsi="宋体" w:cs="宋体"/>
                <w:color w:val="000000" w:themeColor="text1"/>
                <w:kern w:val="0"/>
                <w:sz w:val="28"/>
                <w:szCs w:val="28"/>
              </w:rPr>
            </w:pPr>
            <w:r>
              <w:rPr>
                <w:rFonts w:hint="eastAsia" w:ascii="宋体" w:hAnsi="宋体" w:cs="宋体"/>
                <w:color w:val="000000" w:themeColor="text1"/>
                <w:kern w:val="0"/>
                <w:sz w:val="28"/>
                <w:szCs w:val="28"/>
              </w:rPr>
              <w:t>单位2：南方医科大学南方医院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restart"/>
            <w:vAlign w:val="center"/>
          </w:tcPr>
          <w:p>
            <w:pPr>
              <w:adjustRightInd w:val="0"/>
              <w:snapToGrid w:val="0"/>
              <w:jc w:val="center"/>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主要完成人（职称、完成单位、工作单位）</w:t>
            </w:r>
          </w:p>
        </w:tc>
        <w:tc>
          <w:tcPr>
            <w:tcW w:w="7895" w:type="dxa"/>
            <w:vAlign w:val="center"/>
          </w:tcPr>
          <w:p>
            <w:pPr>
              <w:adjustRightInd w:val="0"/>
              <w:snapToGrid w:val="0"/>
              <w:spacing w:line="276" w:lineRule="auto"/>
              <w:jc w:val="left"/>
              <w:rPr>
                <w:rFonts w:ascii="宋体" w:hAnsi="宋体" w:cs="宋体"/>
                <w:color w:val="000000" w:themeColor="text1"/>
                <w:kern w:val="0"/>
                <w:sz w:val="28"/>
                <w:szCs w:val="28"/>
              </w:rPr>
            </w:pPr>
            <w:r>
              <w:rPr>
                <w:rFonts w:hint="eastAsia" w:ascii="宋体" w:hAnsi="宋体" w:cs="宋体"/>
                <w:color w:val="000000" w:themeColor="text1"/>
                <w:kern w:val="0"/>
                <w:sz w:val="28"/>
                <w:szCs w:val="28"/>
              </w:rPr>
              <w:t>范德辉，职称：主任中医师，广东省第二中医院（广东省中医药工程技术研究院），第1完成人。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bCs/>
              </w:rPr>
            </w:pPr>
          </w:p>
        </w:tc>
        <w:tc>
          <w:tcPr>
            <w:tcW w:w="7895" w:type="dxa"/>
            <w:vAlign w:val="center"/>
          </w:tcPr>
          <w:p>
            <w:pPr>
              <w:adjustRightInd w:val="0"/>
              <w:snapToGrid w:val="0"/>
              <w:spacing w:line="276" w:lineRule="auto"/>
              <w:jc w:val="left"/>
              <w:rPr>
                <w:rFonts w:ascii="宋体" w:hAnsi="宋体" w:cs="宋体"/>
                <w:color w:val="000000" w:themeColor="text1"/>
                <w:kern w:val="0"/>
                <w:sz w:val="28"/>
                <w:szCs w:val="28"/>
              </w:rPr>
            </w:pPr>
            <w:r>
              <w:rPr>
                <w:rFonts w:hint="eastAsia" w:ascii="宋体" w:hAnsi="宋体" w:cs="宋体"/>
                <w:color w:val="000000" w:themeColor="text1"/>
                <w:kern w:val="0"/>
                <w:sz w:val="28"/>
                <w:szCs w:val="28"/>
              </w:rPr>
              <w:t>刘悦，职称：主任中医师，广东省第二中医院（广东省中医药工程技术研究院），第2完成人。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bCs/>
              </w:rPr>
            </w:pPr>
          </w:p>
        </w:tc>
        <w:tc>
          <w:tcPr>
            <w:tcW w:w="7895" w:type="dxa"/>
            <w:vAlign w:val="center"/>
          </w:tcPr>
          <w:p>
            <w:pPr>
              <w:adjustRightInd w:val="0"/>
              <w:snapToGrid w:val="0"/>
              <w:spacing w:line="276" w:lineRule="auto"/>
              <w:jc w:val="left"/>
              <w:rPr>
                <w:rFonts w:ascii="宋体" w:hAnsi="宋体" w:cs="宋体"/>
                <w:color w:val="000000" w:themeColor="text1"/>
                <w:kern w:val="0"/>
                <w:sz w:val="28"/>
                <w:szCs w:val="28"/>
              </w:rPr>
            </w:pPr>
            <w:r>
              <w:rPr>
                <w:rFonts w:hint="eastAsia" w:ascii="宋体" w:hAnsi="宋体" w:cs="宋体"/>
                <w:color w:val="000000" w:themeColor="text1"/>
                <w:kern w:val="0"/>
                <w:sz w:val="28"/>
                <w:szCs w:val="28"/>
              </w:rPr>
              <w:t>李义凯，职称：主任医师，南方医科大学南方医院，第3完成人。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bCs/>
              </w:rPr>
            </w:pPr>
          </w:p>
        </w:tc>
        <w:tc>
          <w:tcPr>
            <w:tcW w:w="7895" w:type="dxa"/>
            <w:vAlign w:val="center"/>
          </w:tcPr>
          <w:p>
            <w:pPr>
              <w:adjustRightInd w:val="0"/>
              <w:snapToGrid w:val="0"/>
              <w:spacing w:line="276" w:lineRule="auto"/>
              <w:jc w:val="left"/>
              <w:rPr>
                <w:rFonts w:ascii="宋体" w:hAnsi="宋体" w:cs="宋体"/>
                <w:color w:val="000000" w:themeColor="text1"/>
                <w:kern w:val="0"/>
                <w:sz w:val="28"/>
                <w:szCs w:val="28"/>
              </w:rPr>
            </w:pPr>
            <w:r>
              <w:rPr>
                <w:rFonts w:hint="eastAsia" w:ascii="宋体" w:hAnsi="宋体" w:cs="宋体"/>
                <w:color w:val="000000" w:themeColor="text1"/>
                <w:kern w:val="0"/>
                <w:sz w:val="28"/>
                <w:szCs w:val="28"/>
              </w:rPr>
              <w:t>袁智先，职称：副主任中医师，广东省第二中医院（广东省中医药工程技术研究院），第4完成人。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bCs/>
              </w:rPr>
            </w:pPr>
          </w:p>
        </w:tc>
        <w:tc>
          <w:tcPr>
            <w:tcW w:w="7895" w:type="dxa"/>
            <w:vAlign w:val="center"/>
          </w:tcPr>
          <w:p>
            <w:pPr>
              <w:adjustRightInd w:val="0"/>
              <w:snapToGrid w:val="0"/>
              <w:spacing w:line="276" w:lineRule="auto"/>
              <w:jc w:val="left"/>
              <w:rPr>
                <w:rFonts w:ascii="宋体" w:hAnsi="宋体" w:cs="宋体"/>
                <w:color w:val="000000" w:themeColor="text1"/>
                <w:kern w:val="0"/>
                <w:sz w:val="28"/>
                <w:szCs w:val="28"/>
              </w:rPr>
            </w:pPr>
            <w:r>
              <w:rPr>
                <w:rFonts w:hint="eastAsia" w:ascii="宋体" w:hAnsi="宋体" w:cs="宋体"/>
                <w:color w:val="000000" w:themeColor="text1"/>
                <w:kern w:val="0"/>
                <w:sz w:val="28"/>
                <w:szCs w:val="28"/>
              </w:rPr>
              <w:t>苏美意，职称：主治中医师，广东省第二中医院（广东省中医药工程技术研究院），第5完成人。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bCs/>
              </w:rPr>
            </w:pPr>
          </w:p>
        </w:tc>
        <w:tc>
          <w:tcPr>
            <w:tcW w:w="7895" w:type="dxa"/>
            <w:vAlign w:val="center"/>
          </w:tcPr>
          <w:p>
            <w:pPr>
              <w:adjustRightInd w:val="0"/>
              <w:snapToGrid w:val="0"/>
              <w:spacing w:line="276" w:lineRule="auto"/>
              <w:jc w:val="left"/>
              <w:rPr>
                <w:rFonts w:ascii="宋体" w:hAnsi="宋体" w:cs="宋体"/>
                <w:color w:val="000000" w:themeColor="text1"/>
                <w:kern w:val="0"/>
                <w:sz w:val="28"/>
                <w:szCs w:val="28"/>
              </w:rPr>
            </w:pPr>
            <w:r>
              <w:rPr>
                <w:rFonts w:hint="eastAsia" w:ascii="宋体" w:hAnsi="宋体" w:cs="宋体"/>
                <w:color w:val="000000" w:themeColor="text1"/>
                <w:kern w:val="0"/>
                <w:sz w:val="28"/>
                <w:szCs w:val="28"/>
              </w:rPr>
              <w:t>张振宁，职称：主治中医师，广东省第二中医院（广东省中医药工程技术研究院），第6完成人。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bCs/>
              </w:rPr>
            </w:pPr>
          </w:p>
        </w:tc>
        <w:tc>
          <w:tcPr>
            <w:tcW w:w="7895" w:type="dxa"/>
            <w:vAlign w:val="center"/>
          </w:tcPr>
          <w:p>
            <w:pPr>
              <w:adjustRightInd w:val="0"/>
              <w:snapToGrid w:val="0"/>
              <w:spacing w:line="276" w:lineRule="auto"/>
              <w:jc w:val="left"/>
              <w:rPr>
                <w:rFonts w:ascii="宋体" w:hAnsi="宋体" w:cs="宋体"/>
                <w:color w:val="000000" w:themeColor="text1"/>
                <w:kern w:val="0"/>
                <w:sz w:val="28"/>
                <w:szCs w:val="28"/>
              </w:rPr>
            </w:pPr>
            <w:r>
              <w:rPr>
                <w:rFonts w:hint="eastAsia" w:ascii="宋体" w:hAnsi="宋体" w:cs="宋体"/>
                <w:color w:val="000000" w:themeColor="text1"/>
                <w:kern w:val="0"/>
                <w:sz w:val="28"/>
                <w:szCs w:val="28"/>
              </w:rPr>
              <w:t>聂斌，职称：主任中医师，广东省第二中医院（广东省中医药工程技术研究院），第7完成人。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bCs/>
              </w:rPr>
            </w:pPr>
          </w:p>
        </w:tc>
        <w:tc>
          <w:tcPr>
            <w:tcW w:w="7895" w:type="dxa"/>
            <w:vAlign w:val="center"/>
          </w:tcPr>
          <w:p>
            <w:pPr>
              <w:adjustRightInd w:val="0"/>
              <w:snapToGrid w:val="0"/>
              <w:spacing w:line="276" w:lineRule="auto"/>
              <w:jc w:val="left"/>
              <w:rPr>
                <w:rFonts w:ascii="宋体" w:hAnsi="宋体" w:cs="宋体"/>
                <w:color w:val="000000" w:themeColor="text1"/>
                <w:kern w:val="0"/>
                <w:sz w:val="28"/>
                <w:szCs w:val="28"/>
              </w:rPr>
            </w:pPr>
            <w:r>
              <w:rPr>
                <w:rFonts w:hint="eastAsia" w:ascii="宋体" w:hAnsi="宋体" w:cs="宋体"/>
                <w:color w:val="000000" w:themeColor="text1"/>
                <w:kern w:val="0"/>
                <w:sz w:val="28"/>
                <w:szCs w:val="28"/>
              </w:rPr>
              <w:t>刘建，职称：副主任中医师，广东省第二中医院（广东省中医药工程技术研究院），第8完成人。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bCs/>
              </w:rPr>
            </w:pPr>
          </w:p>
        </w:tc>
        <w:tc>
          <w:tcPr>
            <w:tcW w:w="7895" w:type="dxa"/>
            <w:vAlign w:val="center"/>
          </w:tcPr>
          <w:p>
            <w:pPr>
              <w:adjustRightInd w:val="0"/>
              <w:snapToGrid w:val="0"/>
              <w:spacing w:line="276" w:lineRule="auto"/>
              <w:jc w:val="left"/>
              <w:rPr>
                <w:rFonts w:ascii="宋体" w:hAnsi="宋体" w:cs="宋体"/>
                <w:color w:val="000000" w:themeColor="text1"/>
                <w:kern w:val="0"/>
                <w:sz w:val="28"/>
                <w:szCs w:val="28"/>
              </w:rPr>
            </w:pPr>
            <w:r>
              <w:rPr>
                <w:rFonts w:hint="eastAsia" w:ascii="宋体" w:hAnsi="宋体" w:cs="宋体"/>
                <w:color w:val="000000" w:themeColor="text1"/>
                <w:kern w:val="0"/>
                <w:sz w:val="28"/>
                <w:szCs w:val="28"/>
              </w:rPr>
              <w:t>刘通，职称：中医师，广东省第二中医院（广东省中医药工程技术研究院），第9完成人。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bCs/>
              </w:rPr>
            </w:pPr>
          </w:p>
        </w:tc>
        <w:tc>
          <w:tcPr>
            <w:tcW w:w="7895" w:type="dxa"/>
            <w:vAlign w:val="center"/>
          </w:tcPr>
          <w:p>
            <w:pPr>
              <w:adjustRightInd w:val="0"/>
              <w:snapToGrid w:val="0"/>
              <w:spacing w:line="276" w:lineRule="auto"/>
              <w:jc w:val="left"/>
              <w:rPr>
                <w:rFonts w:ascii="宋体" w:hAnsi="宋体" w:cs="宋体"/>
                <w:color w:val="000000" w:themeColor="text1"/>
                <w:kern w:val="0"/>
                <w:sz w:val="28"/>
                <w:szCs w:val="28"/>
              </w:rPr>
            </w:pPr>
            <w:r>
              <w:rPr>
                <w:rFonts w:hint="eastAsia" w:ascii="宋体" w:hAnsi="宋体" w:cs="宋体"/>
                <w:color w:val="000000" w:themeColor="text1"/>
                <w:kern w:val="0"/>
                <w:sz w:val="28"/>
                <w:szCs w:val="28"/>
              </w:rPr>
              <w:t>林颖，职称：主治中医师，广东省第二中医院（广东省中医药工程技术研究院），第10完成人。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51" w:hRule="atLeast"/>
          <w:jc w:val="center"/>
        </w:trPr>
        <w:tc>
          <w:tcPr>
            <w:tcW w:w="1615" w:type="dxa"/>
            <w:vAlign w:val="center"/>
          </w:tcPr>
          <w:p>
            <w:pPr>
              <w:adjustRightInd w:val="0"/>
              <w:snapToGrid w:val="0"/>
              <w:jc w:val="center"/>
              <w:rPr>
                <w:rFonts w:ascii="仿宋" w:hAnsi="仿宋" w:eastAsia="仿宋"/>
                <w:b/>
                <w:bCs/>
              </w:rPr>
            </w:pPr>
            <w:r>
              <w:rPr>
                <w:rFonts w:hint="eastAsia" w:asciiTheme="minorEastAsia" w:hAnsiTheme="minorEastAsia" w:eastAsiaTheme="minorEastAsia"/>
                <w:b/>
                <w:bCs/>
                <w:sz w:val="28"/>
                <w:szCs w:val="28"/>
              </w:rPr>
              <w:t>项目简介</w:t>
            </w:r>
          </w:p>
        </w:tc>
        <w:tc>
          <w:tcPr>
            <w:tcW w:w="7895" w:type="dxa"/>
            <w:vAlign w:val="center"/>
          </w:tcPr>
          <w:p>
            <w:pPr>
              <w:adjustRightInd w:val="0"/>
              <w:snapToGrid w:val="0"/>
              <w:spacing w:line="276" w:lineRule="auto"/>
              <w:ind w:firstLine="560" w:firstLineChars="200"/>
              <w:jc w:val="left"/>
              <w:rPr>
                <w:rFonts w:ascii="宋体" w:hAnsi="宋体" w:cs="宋体"/>
                <w:color w:val="000000" w:themeColor="text1"/>
                <w:kern w:val="0"/>
                <w:sz w:val="28"/>
                <w:szCs w:val="28"/>
              </w:rPr>
            </w:pPr>
            <w:r>
              <w:rPr>
                <w:rFonts w:hint="eastAsia" w:ascii="宋体" w:hAnsi="宋体" w:cs="宋体"/>
                <w:color w:val="000000" w:themeColor="text1"/>
                <w:kern w:val="0"/>
                <w:sz w:val="28"/>
                <w:szCs w:val="28"/>
              </w:rPr>
              <w:t>随着社会发展和疾病谱的改变, 脊柱相关疾病逐渐成为当前困扰民众生活和健康的常见病。诊断方面，多依赖医生个人经验，缺乏规范化的诊断标准。治疗方面，保守治疗技术单一，且起效慢、疗效差、易反复，多用止痛药物及物理治疗改善症状。其中疑难脊柱相关疾病多以手术治疗为主，但临床疗效不确切，并发症多、复发率高是一直困扰临床医师的难题。因此，脊柱相关疾病的防治是我国常见病、疑难病防治的重要内容。</w:t>
            </w:r>
          </w:p>
          <w:p>
            <w:pPr>
              <w:adjustRightInd w:val="0"/>
              <w:snapToGrid w:val="0"/>
              <w:spacing w:line="276" w:lineRule="auto"/>
              <w:ind w:firstLine="560" w:firstLineChars="200"/>
              <w:jc w:val="left"/>
              <w:rPr>
                <w:rFonts w:ascii="宋体" w:hAnsi="宋体" w:cs="宋体"/>
                <w:color w:val="000000" w:themeColor="text1"/>
                <w:kern w:val="0"/>
                <w:sz w:val="28"/>
                <w:szCs w:val="28"/>
              </w:rPr>
            </w:pPr>
            <w:r>
              <w:rPr>
                <w:rFonts w:hint="eastAsia" w:ascii="宋体" w:hAnsi="宋体" w:cs="宋体"/>
                <w:color w:val="000000" w:themeColor="text1"/>
                <w:kern w:val="0"/>
                <w:sz w:val="28"/>
                <w:szCs w:val="28"/>
              </w:rPr>
              <w:t>动正整脊手法是项目组经过十多年研究，在继承龙层花老师的“龙氏正骨手法”基础上，创新总结出的一套脊柱相关疾病的诊疗方法。该手法首创动正整脊理论指导下的三步定位诊断法则及四步十法治疗技术，在国内首次开展颈椎病坐位牵引下正骨及腰椎病倒悬牵引下正骨技术，突破了传统诊疗方案中仅以脊椎关节错位的静态结构改变为参照物的研究角度，实现了脊柱相关疾病诊治的规范化，整体上提高该病的诊疗水平。该手法安全可靠，技术国内领先，填补了我国脊柱相关疾病诊断与治疗领域的空白。</w:t>
            </w:r>
          </w:p>
          <w:p>
            <w:pPr>
              <w:adjustRightInd w:val="0"/>
              <w:snapToGrid w:val="0"/>
              <w:spacing w:line="276" w:lineRule="auto"/>
              <w:ind w:firstLine="560" w:firstLineChars="200"/>
              <w:jc w:val="left"/>
              <w:rPr>
                <w:rFonts w:ascii="宋体" w:hAnsi="宋体" w:cs="宋体"/>
                <w:color w:val="000000" w:themeColor="text1"/>
                <w:kern w:val="0"/>
                <w:sz w:val="28"/>
                <w:szCs w:val="28"/>
              </w:rPr>
            </w:pPr>
            <w:r>
              <w:rPr>
                <w:rFonts w:hint="eastAsia" w:ascii="宋体" w:hAnsi="宋体" w:cs="宋体"/>
                <w:color w:val="000000" w:themeColor="text1"/>
                <w:kern w:val="0"/>
                <w:sz w:val="28"/>
                <w:szCs w:val="28"/>
              </w:rPr>
              <w:t>项目组自2007年开始脊柱相关疾病的防治研究，先后开展了1项国家级、6项省级和1项市级科研项目，初步建立了国内部分地区脊柱相关疾病防治人才体系，发挥医疗资源共享优势，使适宜技术下沉，在国内初步建立该病的防治网络，取得显著社会效益。项目组在国内率先开展该病诊疗策略研究，提出以三级医院为依托的区域性脊柱相关疾病防治诊疗管理及推广模式。项目组近五年共诊治来自包括欧美，大洋洲、非洲及国内20多个省市地区的脊柱相关疾病患者50328例，其中疑难重症脊柱相关疾病患者近10000例。依托科室入选国家中医药管理局遴选的区域中医（专科）诊疗中心建设单位和广东省适宜技术推广基地；成立了“中国民族医药学会康复分会”、“广东省中西医结合学会脊柱疾病康复专业委员会”和“广东省针灸学会针推结合专业委员会”。在省政府百万专项资金资助下，建立脊柱相关疾病研究工作室；成立以13家三级医院为依托的脊柱疾病临床康复示范基地，培养博士3名，硕士39名，举办了相关培训12期，培训人员达3000人次，受邀参加国内脊柱相关疾病专题讲座30余次，每年接收专科进修医生近100名，动正整脊手法作为中医特色技术项目参加南太平洋岛国“送医上岛”医疗巡诊和中国援非（加纳）医疗任务。项目组专家出色地完成了“一带一路”医疗外交使命，传播中医药文化，为国增光。</w:t>
            </w:r>
          </w:p>
          <w:p>
            <w:pPr>
              <w:adjustRightInd w:val="0"/>
              <w:snapToGrid w:val="0"/>
              <w:spacing w:line="276" w:lineRule="auto"/>
              <w:ind w:firstLine="560" w:firstLineChars="200"/>
              <w:jc w:val="left"/>
              <w:rPr>
                <w:rFonts w:ascii="宋体" w:hAnsi="宋体" w:cs="宋体"/>
                <w:color w:val="000000" w:themeColor="text1"/>
                <w:kern w:val="0"/>
                <w:sz w:val="28"/>
                <w:szCs w:val="28"/>
              </w:rPr>
            </w:pPr>
            <w:r>
              <w:rPr>
                <w:rFonts w:hint="eastAsia" w:ascii="宋体" w:hAnsi="宋体" w:cs="宋体"/>
                <w:color w:val="000000" w:themeColor="text1"/>
                <w:kern w:val="0"/>
                <w:sz w:val="28"/>
                <w:szCs w:val="28"/>
              </w:rPr>
              <w:t>项目组共发表论文33篇，其中SCI论文3篇，他引248次。发明专利1项，实用新型专利1项。制作专业教学视频1部，出版专著4部，其中学术类专著2部、科普类专著2部，其中《龙氏治脊疗法》已印刷5次，发行量超过10000册。</w:t>
            </w:r>
          </w:p>
          <w:p>
            <w:pPr>
              <w:adjustRightInd w:val="0"/>
              <w:snapToGrid w:val="0"/>
              <w:spacing w:line="276" w:lineRule="auto"/>
              <w:ind w:firstLine="560" w:firstLineChars="200"/>
              <w:jc w:val="left"/>
              <w:rPr>
                <w:rFonts w:ascii="仿宋" w:hAnsi="仿宋" w:eastAsia="仿宋"/>
              </w:rPr>
            </w:pPr>
            <w:r>
              <w:rPr>
                <w:rFonts w:hint="eastAsia" w:ascii="宋体" w:hAnsi="宋体" w:cs="宋体"/>
                <w:color w:val="000000" w:themeColor="text1"/>
                <w:kern w:val="0"/>
                <w:sz w:val="28"/>
                <w:szCs w:val="28"/>
              </w:rPr>
              <w:t>动正整脊疗法显著提高了针灸推拿、康复理疗等专科医生治疗脊柱相关疾病的临床疗效，推动了该学科的发展，提高了整体特别是经济欠发达地区的脊柱相关疾病防治能力，前移防控关口，解决百姓看病就医难题，具有广泛的推广应用前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jc w:val="center"/>
        </w:trPr>
        <w:tc>
          <w:tcPr>
            <w:tcW w:w="1615" w:type="dxa"/>
            <w:vMerge w:val="restart"/>
            <w:vAlign w:val="center"/>
          </w:tcPr>
          <w:p>
            <w:pPr>
              <w:adjustRightInd w:val="0"/>
              <w:snapToGrid w:val="0"/>
              <w:jc w:val="center"/>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代表性论文</w:t>
            </w:r>
          </w:p>
          <w:p>
            <w:pPr>
              <w:adjustRightInd w:val="0"/>
              <w:snapToGrid w:val="0"/>
              <w:jc w:val="center"/>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专著目录</w:t>
            </w:r>
          </w:p>
          <w:p>
            <w:pPr>
              <w:adjustRightInd w:val="0"/>
              <w:snapToGrid w:val="0"/>
              <w:jc w:val="center"/>
              <w:rPr>
                <w:rFonts w:ascii="仿宋" w:hAnsi="仿宋" w:eastAsia="仿宋"/>
                <w:b/>
                <w:bCs/>
              </w:rPr>
            </w:pPr>
          </w:p>
          <w:p>
            <w:pPr>
              <w:adjustRightInd w:val="0"/>
              <w:snapToGrid w:val="0"/>
              <w:rPr>
                <w:rFonts w:ascii="仿宋" w:hAnsi="仿宋" w:eastAsia="仿宋"/>
                <w:b/>
                <w:bCs/>
              </w:rPr>
            </w:pPr>
          </w:p>
        </w:tc>
        <w:tc>
          <w:tcPr>
            <w:tcW w:w="7895" w:type="dxa"/>
            <w:vAlign w:val="center"/>
          </w:tcPr>
          <w:p>
            <w:pPr>
              <w:adjustRightInd w:val="0"/>
              <w:snapToGrid w:val="0"/>
              <w:spacing w:line="276" w:lineRule="auto"/>
              <w:rPr>
                <w:rFonts w:ascii="宋体" w:hAnsi="宋体" w:cs="宋体"/>
                <w:color w:val="000000"/>
                <w:kern w:val="0"/>
                <w:sz w:val="28"/>
                <w:szCs w:val="28"/>
              </w:rPr>
            </w:pPr>
            <w:r>
              <w:rPr>
                <w:rFonts w:hint="eastAsia" w:ascii="宋体" w:hAnsi="宋体" w:cs="宋体"/>
                <w:color w:val="000000"/>
                <w:kern w:val="0"/>
                <w:sz w:val="28"/>
                <w:szCs w:val="28"/>
              </w:rPr>
              <w:t>1.</w:t>
            </w:r>
            <w:r>
              <w:rPr>
                <w:rFonts w:ascii="宋体" w:hAnsi="宋体" w:cs="宋体"/>
                <w:color w:val="000000"/>
                <w:kern w:val="0"/>
                <w:sz w:val="28"/>
                <w:szCs w:val="28"/>
              </w:rPr>
              <w:t>专著：</w:t>
            </w:r>
            <w:r>
              <w:rPr>
                <w:rFonts w:hint="eastAsia" w:ascii="宋体" w:hAnsi="宋体" w:cs="宋体"/>
                <w:color w:val="000000"/>
                <w:kern w:val="0"/>
                <w:sz w:val="28"/>
                <w:szCs w:val="28"/>
              </w:rPr>
              <w:t>《龙氏治脊疗法》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1615" w:type="dxa"/>
            <w:vMerge w:val="continue"/>
            <w:vAlign w:val="center"/>
          </w:tcPr>
          <w:p>
            <w:pPr>
              <w:adjustRightInd w:val="0"/>
              <w:snapToGrid w:val="0"/>
              <w:rPr>
                <w:rFonts w:ascii="仿宋" w:hAnsi="仿宋" w:eastAsia="仿宋"/>
                <w:b/>
                <w:bCs/>
              </w:rPr>
            </w:pPr>
          </w:p>
        </w:tc>
        <w:tc>
          <w:tcPr>
            <w:tcW w:w="7895" w:type="dxa"/>
            <w:vAlign w:val="center"/>
          </w:tcPr>
          <w:p>
            <w:pPr>
              <w:spacing w:line="276" w:lineRule="auto"/>
              <w:rPr>
                <w:rFonts w:ascii="宋体" w:hAnsi="宋体" w:cs="宋体"/>
                <w:color w:val="000000"/>
                <w:kern w:val="0"/>
                <w:sz w:val="28"/>
                <w:szCs w:val="28"/>
              </w:rPr>
            </w:pPr>
            <w:r>
              <w:rPr>
                <w:rFonts w:hint="eastAsia" w:ascii="宋体" w:hAnsi="宋体" w:cs="宋体"/>
                <w:color w:val="000000"/>
                <w:kern w:val="0"/>
                <w:sz w:val="28"/>
                <w:szCs w:val="28"/>
              </w:rPr>
              <w:t>2.</w:t>
            </w:r>
            <w:r>
              <w:rPr>
                <w:rFonts w:ascii="宋体" w:hAnsi="宋体" w:cs="宋体"/>
                <w:color w:val="000000"/>
                <w:kern w:val="0"/>
                <w:sz w:val="28"/>
                <w:szCs w:val="28"/>
              </w:rPr>
              <w:t>专著：</w:t>
            </w:r>
            <w:r>
              <w:rPr>
                <w:rFonts w:hint="eastAsia" w:ascii="宋体" w:hAnsi="宋体" w:cs="宋体"/>
                <w:color w:val="000000"/>
                <w:kern w:val="0"/>
                <w:sz w:val="28"/>
                <w:szCs w:val="28"/>
              </w:rPr>
              <w:t>《治腰治颈不如靠自己》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rPr>
                <w:rFonts w:ascii="仿宋" w:hAnsi="仿宋" w:eastAsia="仿宋"/>
                <w:b/>
                <w:bCs/>
              </w:rPr>
            </w:pPr>
          </w:p>
        </w:tc>
        <w:tc>
          <w:tcPr>
            <w:tcW w:w="7895" w:type="dxa"/>
            <w:vAlign w:val="center"/>
          </w:tcPr>
          <w:p>
            <w:pPr>
              <w:adjustRightInd w:val="0"/>
              <w:snapToGrid w:val="0"/>
              <w:spacing w:beforeLines="20" w:afterLines="20" w:line="276" w:lineRule="auto"/>
              <w:jc w:val="left"/>
              <w:rPr>
                <w:rFonts w:ascii="宋体" w:hAnsi="宋体" w:cs="宋体"/>
                <w:color w:val="000000"/>
                <w:kern w:val="0"/>
                <w:sz w:val="28"/>
                <w:szCs w:val="28"/>
              </w:rPr>
            </w:pPr>
            <w:r>
              <w:rPr>
                <w:rFonts w:hint="eastAsia" w:ascii="宋体" w:hAnsi="宋体" w:cs="宋体"/>
                <w:color w:val="000000"/>
                <w:kern w:val="0"/>
                <w:sz w:val="28"/>
                <w:szCs w:val="28"/>
              </w:rPr>
              <w:t>3.</w:t>
            </w:r>
            <w:r>
              <w:rPr>
                <w:rFonts w:ascii="宋体" w:hAnsi="宋体" w:cs="宋体"/>
                <w:color w:val="000000"/>
                <w:kern w:val="0"/>
                <w:sz w:val="28"/>
                <w:szCs w:val="28"/>
              </w:rPr>
              <w:t>专著：</w:t>
            </w:r>
            <w:r>
              <w:rPr>
                <w:rFonts w:hint="eastAsia" w:ascii="宋体" w:hAnsi="宋体" w:cs="宋体"/>
                <w:color w:val="000000"/>
                <w:kern w:val="0"/>
                <w:sz w:val="28"/>
                <w:szCs w:val="28"/>
              </w:rPr>
              <w:t>《推拿学》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615" w:type="dxa"/>
            <w:vMerge w:val="continue"/>
            <w:vAlign w:val="center"/>
          </w:tcPr>
          <w:p>
            <w:pPr>
              <w:adjustRightInd w:val="0"/>
              <w:snapToGrid w:val="0"/>
              <w:rPr>
                <w:rFonts w:ascii="仿宋" w:hAnsi="仿宋" w:eastAsia="仿宋"/>
                <w:b/>
                <w:bCs/>
              </w:rPr>
            </w:pPr>
          </w:p>
        </w:tc>
        <w:tc>
          <w:tcPr>
            <w:tcW w:w="7895" w:type="dxa"/>
            <w:vAlign w:val="center"/>
          </w:tcPr>
          <w:p>
            <w:pPr>
              <w:adjustRightInd w:val="0"/>
              <w:snapToGrid w:val="0"/>
              <w:spacing w:line="276" w:lineRule="auto"/>
              <w:jc w:val="left"/>
              <w:rPr>
                <w:rFonts w:ascii="宋体" w:hAnsi="宋体" w:cs="宋体"/>
                <w:color w:val="000000"/>
                <w:kern w:val="0"/>
                <w:sz w:val="28"/>
                <w:szCs w:val="28"/>
              </w:rPr>
            </w:pPr>
            <w:r>
              <w:rPr>
                <w:rFonts w:hint="eastAsia" w:ascii="宋体" w:hAnsi="宋体" w:cs="宋体"/>
                <w:color w:val="000000"/>
                <w:kern w:val="0"/>
                <w:sz w:val="28"/>
                <w:szCs w:val="28"/>
              </w:rPr>
              <w:t>4.</w:t>
            </w:r>
            <w:r>
              <w:rPr>
                <w:rFonts w:ascii="宋体" w:hAnsi="宋体" w:cs="宋体"/>
                <w:color w:val="000000"/>
                <w:kern w:val="0"/>
                <w:sz w:val="28"/>
                <w:szCs w:val="28"/>
              </w:rPr>
              <w:t>专著：</w:t>
            </w:r>
            <w:r>
              <w:rPr>
                <w:rFonts w:hint="eastAsia" w:ascii="宋体" w:hAnsi="宋体" w:cs="宋体"/>
                <w:color w:val="000000"/>
                <w:kern w:val="0"/>
                <w:sz w:val="28"/>
                <w:szCs w:val="28"/>
              </w:rPr>
              <w:t>《常见关节炎的预防与康复》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rPr>
                <w:rFonts w:ascii="仿宋" w:hAnsi="仿宋" w:eastAsia="仿宋"/>
                <w:b/>
                <w:bCs/>
              </w:rPr>
            </w:pPr>
          </w:p>
        </w:tc>
        <w:tc>
          <w:tcPr>
            <w:tcW w:w="7895" w:type="dxa"/>
            <w:vAlign w:val="center"/>
          </w:tcPr>
          <w:p>
            <w:pPr>
              <w:adjustRightInd w:val="0"/>
              <w:snapToGrid w:val="0"/>
              <w:spacing w:line="276" w:lineRule="auto"/>
              <w:rPr>
                <w:rFonts w:ascii="宋体" w:hAnsi="宋体" w:cs="宋体"/>
                <w:color w:val="000000"/>
                <w:kern w:val="0"/>
                <w:sz w:val="28"/>
                <w:szCs w:val="28"/>
              </w:rPr>
            </w:pPr>
            <w:r>
              <w:rPr>
                <w:rFonts w:hint="eastAsia" w:ascii="宋体" w:hAnsi="宋体" w:cs="宋体"/>
                <w:color w:val="000000"/>
                <w:kern w:val="0"/>
                <w:sz w:val="28"/>
                <w:szCs w:val="28"/>
              </w:rPr>
              <w:t>5.论文：</w:t>
            </w:r>
            <w:r>
              <w:rPr>
                <w:rFonts w:ascii="宋体" w:hAnsi="宋体" w:cs="宋体"/>
                <w:color w:val="000000"/>
                <w:kern w:val="0"/>
                <w:sz w:val="28"/>
                <w:szCs w:val="28"/>
              </w:rPr>
              <w:t>范德辉,刘刚,王廷臣,黄凡,王小寅,曾红文,周飞雄,姚国新,陈旭林,许荣达,李盈.腹针结合龙氏正骨手法治疗神经根型颈椎病近远期疗效观察[J].中国</w:t>
            </w:r>
            <w:r>
              <w:rPr>
                <w:rFonts w:hint="eastAsia" w:ascii="宋体" w:hAnsi="宋体" w:cs="宋体"/>
                <w:color w:val="000000"/>
                <w:kern w:val="0"/>
                <w:sz w:val="28"/>
                <w:szCs w:val="28"/>
              </w:rPr>
              <w:t>针</w:t>
            </w:r>
            <w:r>
              <w:rPr>
                <w:rFonts w:ascii="宋体" w:hAnsi="宋体" w:cs="宋体"/>
                <w:color w:val="000000"/>
                <w:kern w:val="0"/>
                <w:sz w:val="28"/>
                <w:szCs w:val="28"/>
              </w:rPr>
              <w:t>灸,2010,30(11):909-912.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bCs/>
              </w:rPr>
            </w:pPr>
          </w:p>
        </w:tc>
        <w:tc>
          <w:tcPr>
            <w:tcW w:w="7895" w:type="dxa"/>
            <w:vAlign w:val="center"/>
          </w:tcPr>
          <w:p>
            <w:pPr>
              <w:adjustRightInd w:val="0"/>
              <w:snapToGrid w:val="0"/>
              <w:spacing w:line="276" w:lineRule="auto"/>
              <w:rPr>
                <w:rFonts w:ascii="宋体" w:hAnsi="宋体" w:cs="宋体"/>
                <w:color w:val="000000"/>
                <w:kern w:val="0"/>
                <w:sz w:val="28"/>
                <w:szCs w:val="28"/>
              </w:rPr>
            </w:pPr>
            <w:r>
              <w:rPr>
                <w:rFonts w:hint="eastAsia" w:ascii="宋体" w:hAnsi="宋体" w:cs="宋体"/>
                <w:color w:val="000000"/>
                <w:kern w:val="0"/>
                <w:sz w:val="28"/>
                <w:szCs w:val="28"/>
              </w:rPr>
              <w:t>6.论文：范德辉,苏美意,刘建,曾姿霈.倒悬牵引治疗腰椎间盘突出症疗效的正交设计临床研究[J].湖南中医杂志,2014,30(10):6-9.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bCs/>
              </w:rPr>
            </w:pPr>
          </w:p>
        </w:tc>
        <w:tc>
          <w:tcPr>
            <w:tcW w:w="7895" w:type="dxa"/>
            <w:vAlign w:val="center"/>
          </w:tcPr>
          <w:p>
            <w:pPr>
              <w:adjustRightInd w:val="0"/>
              <w:snapToGrid w:val="0"/>
              <w:spacing w:line="276" w:lineRule="auto"/>
              <w:jc w:val="left"/>
              <w:rPr>
                <w:rFonts w:ascii="宋体" w:hAnsi="宋体" w:cs="宋体"/>
                <w:color w:val="000000"/>
                <w:kern w:val="0"/>
                <w:sz w:val="28"/>
                <w:szCs w:val="28"/>
              </w:rPr>
            </w:pPr>
            <w:r>
              <w:rPr>
                <w:rFonts w:hint="eastAsia" w:ascii="宋体" w:hAnsi="宋体" w:cs="宋体"/>
                <w:color w:val="000000"/>
                <w:kern w:val="0"/>
                <w:sz w:val="28"/>
                <w:szCs w:val="28"/>
              </w:rPr>
              <w:t>7.论文：</w:t>
            </w:r>
            <w:r>
              <w:rPr>
                <w:rFonts w:ascii="宋体" w:hAnsi="宋体" w:cs="宋体"/>
                <w:color w:val="000000"/>
                <w:kern w:val="0"/>
                <w:sz w:val="28"/>
                <w:szCs w:val="28"/>
              </w:rPr>
              <w:t>Li Li</w:t>
            </w:r>
            <w:r>
              <w:rPr>
                <w:rFonts w:hint="eastAsia" w:ascii="宋体" w:hAnsi="宋体" w:cs="宋体"/>
                <w:color w:val="000000"/>
                <w:kern w:val="0"/>
                <w:sz w:val="28"/>
                <w:szCs w:val="28"/>
              </w:rPr>
              <w:t>,</w:t>
            </w:r>
            <w:r>
              <w:rPr>
                <w:rFonts w:ascii="宋体" w:hAnsi="宋体" w:cs="宋体"/>
                <w:color w:val="000000"/>
                <w:kern w:val="0"/>
                <w:sz w:val="28"/>
                <w:szCs w:val="28"/>
              </w:rPr>
              <w:t xml:space="preserve"> MD, Specialist, Tong Shen, BS, and Yi-Kai Li, PhD</w:t>
            </w:r>
            <w:r>
              <w:rPr>
                <w:rFonts w:hint="eastAsia" w:ascii="宋体" w:hAnsi="宋体" w:cs="宋体"/>
                <w:color w:val="000000"/>
                <w:kern w:val="0"/>
                <w:sz w:val="28"/>
                <w:szCs w:val="28"/>
              </w:rPr>
              <w:t>,et</w:t>
            </w:r>
            <w:r>
              <w:rPr>
                <w:rFonts w:ascii="宋体" w:hAnsi="宋体" w:cs="宋体"/>
                <w:color w:val="000000"/>
                <w:kern w:val="0"/>
                <w:sz w:val="28"/>
                <w:szCs w:val="28"/>
              </w:rPr>
              <w:t xml:space="preserve"> </w:t>
            </w:r>
            <w:r>
              <w:rPr>
                <w:rFonts w:hint="eastAsia" w:ascii="宋体" w:hAnsi="宋体" w:cs="宋体"/>
                <w:color w:val="000000"/>
                <w:kern w:val="0"/>
                <w:sz w:val="28"/>
                <w:szCs w:val="28"/>
              </w:rPr>
              <w:t>al</w:t>
            </w:r>
            <w:r>
              <w:rPr>
                <w:rFonts w:ascii="宋体" w:hAnsi="宋体" w:cs="宋体"/>
                <w:color w:val="000000"/>
                <w:kern w:val="0"/>
                <w:sz w:val="28"/>
                <w:szCs w:val="28"/>
              </w:rPr>
              <w:t>. A Finite Element Analysis of Stress</w:t>
            </w:r>
            <w:r>
              <w:rPr>
                <w:rFonts w:hint="eastAsia" w:ascii="宋体" w:hAnsi="宋体" w:cs="宋体"/>
                <w:color w:val="000000"/>
                <w:kern w:val="0"/>
                <w:sz w:val="28"/>
                <w:szCs w:val="28"/>
              </w:rPr>
              <w:t xml:space="preserve"> </w:t>
            </w:r>
            <w:r>
              <w:rPr>
                <w:rFonts w:ascii="宋体" w:hAnsi="宋体" w:cs="宋体"/>
                <w:color w:val="000000"/>
                <w:kern w:val="0"/>
                <w:sz w:val="28"/>
                <w:szCs w:val="28"/>
              </w:rPr>
              <w:t>Distribution and Disk Displacement in</w:t>
            </w:r>
            <w:r>
              <w:rPr>
                <w:rFonts w:hint="eastAsia" w:ascii="宋体" w:hAnsi="宋体" w:cs="宋体"/>
                <w:color w:val="000000"/>
                <w:kern w:val="0"/>
                <w:sz w:val="28"/>
                <w:szCs w:val="28"/>
              </w:rPr>
              <w:t xml:space="preserve"> </w:t>
            </w:r>
            <w:r>
              <w:rPr>
                <w:rFonts w:ascii="宋体" w:hAnsi="宋体" w:cs="宋体"/>
                <w:color w:val="000000"/>
                <w:kern w:val="0"/>
                <w:sz w:val="28"/>
                <w:szCs w:val="28"/>
              </w:rPr>
              <w:t>Response to Lumbar Rotation Manipulation</w:t>
            </w:r>
            <w:r>
              <w:rPr>
                <w:rFonts w:hint="eastAsia" w:ascii="宋体" w:hAnsi="宋体" w:cs="宋体"/>
                <w:color w:val="000000"/>
                <w:kern w:val="0"/>
                <w:sz w:val="28"/>
                <w:szCs w:val="28"/>
              </w:rPr>
              <w:t xml:space="preserve"> </w:t>
            </w:r>
            <w:r>
              <w:rPr>
                <w:rFonts w:ascii="宋体" w:hAnsi="宋体" w:cs="宋体"/>
                <w:color w:val="000000"/>
                <w:kern w:val="0"/>
                <w:sz w:val="28"/>
                <w:szCs w:val="28"/>
              </w:rPr>
              <w:t>in the Sitting and Side-Lying Positions[J]</w:t>
            </w:r>
            <w:r>
              <w:rPr>
                <w:rFonts w:hint="eastAsia" w:ascii="宋体" w:hAnsi="宋体" w:cs="宋体"/>
                <w:color w:val="000000"/>
                <w:kern w:val="0"/>
                <w:sz w:val="28"/>
                <w:szCs w:val="28"/>
              </w:rPr>
              <w:t>.</w:t>
            </w:r>
            <w:r>
              <w:rPr>
                <w:rFonts w:ascii="宋体" w:hAnsi="宋体" w:cs="宋体"/>
                <w:color w:val="000000"/>
                <w:kern w:val="0"/>
                <w:sz w:val="28"/>
                <w:szCs w:val="28"/>
              </w:rPr>
              <w:t xml:space="preserve"> Journal of Manipulative and Physiological Therapeutics</w:t>
            </w:r>
            <w:r>
              <w:rPr>
                <w:rFonts w:hint="eastAsia" w:ascii="宋体" w:hAnsi="宋体" w:cs="宋体"/>
                <w:color w:val="000000"/>
                <w:kern w:val="0"/>
                <w:sz w:val="28"/>
                <w:szCs w:val="28"/>
              </w:rPr>
              <w:t>,</w:t>
            </w:r>
            <w:r>
              <w:rPr>
                <w:rFonts w:ascii="宋体" w:hAnsi="宋体" w:cs="宋体"/>
                <w:color w:val="000000"/>
                <w:kern w:val="0"/>
                <w:sz w:val="28"/>
                <w:szCs w:val="28"/>
              </w:rPr>
              <w:t xml:space="preserve"> 2017</w:t>
            </w:r>
            <w:r>
              <w:rPr>
                <w:rFonts w:hint="eastAsia" w:ascii="宋体" w:hAnsi="宋体" w:cs="宋体"/>
                <w:color w:val="000000"/>
                <w:kern w:val="0"/>
                <w:sz w:val="28"/>
                <w:szCs w:val="28"/>
              </w:rPr>
              <w:t>,</w:t>
            </w:r>
            <w:r>
              <w:rPr>
                <w:rFonts w:ascii="宋体" w:hAnsi="宋体" w:cs="宋体"/>
                <w:color w:val="000000"/>
                <w:kern w:val="0"/>
                <w:sz w:val="28"/>
                <w:szCs w:val="28"/>
              </w:rPr>
              <w:t xml:space="preserve"> 40</w:t>
            </w:r>
            <w:r>
              <w:rPr>
                <w:rFonts w:hint="eastAsia" w:ascii="宋体" w:hAnsi="宋体" w:cs="宋体"/>
                <w:color w:val="000000"/>
                <w:kern w:val="0"/>
                <w:sz w:val="28"/>
                <w:szCs w:val="28"/>
              </w:rPr>
              <w:t>(</w:t>
            </w:r>
            <w:r>
              <w:rPr>
                <w:rFonts w:ascii="宋体" w:hAnsi="宋体" w:cs="宋体"/>
                <w:color w:val="000000"/>
                <w:kern w:val="0"/>
                <w:sz w:val="28"/>
                <w:szCs w:val="28"/>
              </w:rPr>
              <w:t xml:space="preserve"> 8</w:t>
            </w:r>
            <w:r>
              <w:rPr>
                <w:rFonts w:hint="eastAsia" w:ascii="宋体" w:hAnsi="宋体" w:cs="宋体"/>
                <w:color w:val="000000"/>
                <w:kern w:val="0"/>
                <w:sz w:val="28"/>
                <w:szCs w:val="28"/>
              </w:rPr>
              <w:t>):580-586.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bCs/>
              </w:rPr>
            </w:pPr>
          </w:p>
        </w:tc>
        <w:tc>
          <w:tcPr>
            <w:tcW w:w="7895" w:type="dxa"/>
            <w:vAlign w:val="center"/>
          </w:tcPr>
          <w:p>
            <w:pPr>
              <w:adjustRightInd w:val="0"/>
              <w:snapToGrid w:val="0"/>
              <w:spacing w:line="276" w:lineRule="auto"/>
              <w:jc w:val="left"/>
              <w:rPr>
                <w:rFonts w:ascii="宋体" w:hAnsi="宋体" w:cs="宋体"/>
                <w:color w:val="000000"/>
                <w:kern w:val="0"/>
                <w:sz w:val="28"/>
                <w:szCs w:val="28"/>
              </w:rPr>
            </w:pPr>
            <w:r>
              <w:rPr>
                <w:rFonts w:hint="eastAsia" w:ascii="宋体" w:hAnsi="宋体" w:cs="宋体"/>
                <w:color w:val="000000"/>
                <w:kern w:val="0"/>
                <w:sz w:val="28"/>
                <w:szCs w:val="28"/>
              </w:rPr>
              <w:t>8.论文：</w:t>
            </w:r>
            <w:r>
              <w:rPr>
                <w:rFonts w:ascii="宋体" w:hAnsi="宋体" w:cs="宋体"/>
                <w:color w:val="000000"/>
                <w:kern w:val="0"/>
                <w:sz w:val="28"/>
                <w:szCs w:val="28"/>
              </w:rPr>
              <w:t>Weishen Lin</w:t>
            </w:r>
            <w:r>
              <w:rPr>
                <w:rFonts w:hint="eastAsia" w:ascii="宋体" w:hAnsi="宋体" w:cs="宋体"/>
                <w:color w:val="000000"/>
                <w:kern w:val="0"/>
                <w:sz w:val="28"/>
                <w:szCs w:val="28"/>
              </w:rPr>
              <w:t>,</w:t>
            </w:r>
            <w:r>
              <w:rPr>
                <w:rFonts w:ascii="宋体" w:hAnsi="宋体" w:cs="宋体"/>
                <w:color w:val="000000"/>
                <w:kern w:val="0"/>
                <w:sz w:val="28"/>
                <w:szCs w:val="28"/>
              </w:rPr>
              <w:t xml:space="preserve"> Xiaokang Ma</w:t>
            </w:r>
            <w:r>
              <w:rPr>
                <w:rFonts w:hint="eastAsia" w:ascii="宋体" w:hAnsi="宋体" w:cs="宋体"/>
                <w:color w:val="000000"/>
                <w:kern w:val="0"/>
                <w:sz w:val="28"/>
                <w:szCs w:val="28"/>
              </w:rPr>
              <w:t>,</w:t>
            </w:r>
            <w:r>
              <w:rPr>
                <w:rFonts w:ascii="宋体" w:hAnsi="宋体" w:cs="宋体"/>
                <w:color w:val="000000"/>
                <w:kern w:val="0"/>
                <w:sz w:val="28"/>
                <w:szCs w:val="28"/>
              </w:rPr>
              <w:t xml:space="preserve"> Datai Deng</w:t>
            </w:r>
            <w:r>
              <w:rPr>
                <w:rFonts w:hint="eastAsia" w:ascii="宋体" w:hAnsi="宋体" w:cs="宋体"/>
                <w:color w:val="000000"/>
                <w:kern w:val="0"/>
                <w:sz w:val="28"/>
                <w:szCs w:val="28"/>
              </w:rPr>
              <w:t>,</w:t>
            </w:r>
            <w:r>
              <w:rPr>
                <w:rFonts w:ascii="宋体" w:hAnsi="宋体" w:cs="宋体"/>
                <w:color w:val="000000"/>
                <w:kern w:val="0"/>
                <w:sz w:val="28"/>
                <w:szCs w:val="28"/>
              </w:rPr>
              <w:t xml:space="preserve"> Yikai Li</w:t>
            </w:r>
            <w:r>
              <w:rPr>
                <w:rFonts w:hint="eastAsia" w:ascii="宋体" w:hAnsi="宋体" w:cs="宋体"/>
                <w:color w:val="000000"/>
                <w:kern w:val="0"/>
                <w:sz w:val="28"/>
                <w:szCs w:val="28"/>
              </w:rPr>
              <w:t>,</w:t>
            </w:r>
            <w:r>
              <w:rPr>
                <w:rFonts w:ascii="宋体" w:hAnsi="宋体" w:cs="宋体"/>
                <w:color w:val="000000"/>
                <w:kern w:val="0"/>
                <w:sz w:val="28"/>
                <w:szCs w:val="28"/>
              </w:rPr>
              <w:t xml:space="preserve"> et al. Hemodynamics in the Circle of Willis with Internal Carotid Artery Stenosis under Cervical Rotatory Manipulation: A Finite Element Analysis[J]</w:t>
            </w:r>
            <w:r>
              <w:rPr>
                <w:rFonts w:hint="eastAsia" w:ascii="宋体" w:hAnsi="宋体" w:cs="宋体"/>
                <w:color w:val="000000"/>
                <w:kern w:val="0"/>
                <w:sz w:val="28"/>
                <w:szCs w:val="28"/>
              </w:rPr>
              <w:t>.</w:t>
            </w:r>
            <w:r>
              <w:rPr>
                <w:rFonts w:ascii="宋体" w:hAnsi="宋体" w:cs="宋体"/>
                <w:color w:val="000000"/>
                <w:kern w:val="0"/>
                <w:sz w:val="28"/>
                <w:szCs w:val="28"/>
              </w:rPr>
              <w:t xml:space="preserve"> Hemodynamics in the circle of Willis with internal carotid artery stenosis</w:t>
            </w:r>
            <w:r>
              <w:rPr>
                <w:rFonts w:hint="eastAsia" w:ascii="宋体" w:hAnsi="宋体" w:cs="宋体"/>
                <w:color w:val="000000"/>
                <w:kern w:val="0"/>
                <w:sz w:val="28"/>
                <w:szCs w:val="28"/>
              </w:rPr>
              <w:t>,</w:t>
            </w:r>
            <w:r>
              <w:rPr>
                <w:rFonts w:ascii="宋体" w:hAnsi="宋体" w:cs="宋体"/>
                <w:color w:val="000000"/>
                <w:kern w:val="0"/>
                <w:sz w:val="28"/>
                <w:szCs w:val="28"/>
              </w:rPr>
              <w:t xml:space="preserve"> 2015,21: 1820-1826</w:t>
            </w:r>
            <w:r>
              <w:rPr>
                <w:rFonts w:hint="eastAsia" w:ascii="宋体" w:hAnsi="宋体" w:cs="宋体"/>
                <w:color w:val="000000"/>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bCs/>
              </w:rPr>
            </w:pPr>
          </w:p>
        </w:tc>
        <w:tc>
          <w:tcPr>
            <w:tcW w:w="7895" w:type="dxa"/>
            <w:vAlign w:val="center"/>
          </w:tcPr>
          <w:p>
            <w:pPr>
              <w:adjustRightInd w:val="0"/>
              <w:snapToGrid w:val="0"/>
              <w:spacing w:line="276" w:lineRule="auto"/>
              <w:jc w:val="left"/>
              <w:rPr>
                <w:rFonts w:ascii="宋体" w:hAnsi="宋体" w:cs="宋体"/>
                <w:color w:val="000000"/>
                <w:kern w:val="0"/>
                <w:sz w:val="28"/>
                <w:szCs w:val="28"/>
              </w:rPr>
            </w:pPr>
            <w:r>
              <w:rPr>
                <w:rFonts w:hint="eastAsia" w:ascii="宋体" w:hAnsi="宋体" w:cs="宋体"/>
                <w:color w:val="000000"/>
                <w:kern w:val="0"/>
                <w:sz w:val="28"/>
                <w:szCs w:val="28"/>
              </w:rPr>
              <w:t>9.论文：刘建,曾姿霈,董晓斌. 龙氏正骨手法治疗颈椎病临床观察</w:t>
            </w:r>
            <w:r>
              <w:rPr>
                <w:rFonts w:ascii="宋体" w:hAnsi="宋体" w:cs="宋体"/>
                <w:color w:val="000000"/>
                <w:kern w:val="0"/>
                <w:sz w:val="28"/>
                <w:szCs w:val="28"/>
              </w:rPr>
              <w:t>[J].</w:t>
            </w:r>
            <w:r>
              <w:rPr>
                <w:rFonts w:hint="eastAsia" w:ascii="宋体" w:hAnsi="宋体" w:cs="宋体"/>
                <w:color w:val="000000"/>
                <w:kern w:val="0"/>
                <w:sz w:val="28"/>
                <w:szCs w:val="28"/>
              </w:rPr>
              <w:t xml:space="preserve"> 按摩与康复医学,2012,3(03):67-68.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bCs/>
              </w:rPr>
            </w:pPr>
          </w:p>
        </w:tc>
        <w:tc>
          <w:tcPr>
            <w:tcW w:w="7895" w:type="dxa"/>
            <w:vAlign w:val="center"/>
          </w:tcPr>
          <w:p>
            <w:pPr>
              <w:adjustRightInd w:val="0"/>
              <w:snapToGrid w:val="0"/>
              <w:spacing w:line="276" w:lineRule="auto"/>
              <w:jc w:val="left"/>
              <w:rPr>
                <w:rFonts w:ascii="宋体" w:hAnsi="宋体" w:cs="宋体"/>
                <w:color w:val="000000"/>
                <w:kern w:val="0"/>
                <w:sz w:val="28"/>
                <w:szCs w:val="28"/>
              </w:rPr>
            </w:pPr>
            <w:r>
              <w:rPr>
                <w:rFonts w:hint="eastAsia" w:ascii="宋体" w:hAnsi="宋体" w:cs="宋体"/>
                <w:color w:val="000000"/>
                <w:kern w:val="0"/>
                <w:sz w:val="28"/>
                <w:szCs w:val="28"/>
              </w:rPr>
              <w:t>10.论文：</w:t>
            </w:r>
            <w:r>
              <w:rPr>
                <w:rFonts w:ascii="宋体" w:hAnsi="宋体" w:cs="宋体"/>
                <w:color w:val="000000"/>
                <w:kern w:val="0"/>
                <w:sz w:val="28"/>
                <w:szCs w:val="28"/>
              </w:rPr>
              <w:t>Liu T, Peng Y, Zhu S, et al. Effect of miniscalpel-needle on relieving the pain of myofascial pain syndrome: a systematic review[J]. Journal of Traditional Chinese Medicine, 2015, 35(6):613.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restart"/>
            <w:vAlign w:val="center"/>
          </w:tcPr>
          <w:p>
            <w:pPr>
              <w:adjustRightInd w:val="0"/>
              <w:snapToGrid w:val="0"/>
              <w:jc w:val="center"/>
              <w:rPr>
                <w:rFonts w:ascii="仿宋" w:hAnsi="仿宋" w:eastAsia="仿宋"/>
                <w:b/>
                <w:bCs/>
              </w:rPr>
            </w:pPr>
            <w:r>
              <w:rPr>
                <w:rFonts w:hint="eastAsia" w:asciiTheme="minorEastAsia" w:hAnsiTheme="minorEastAsia" w:eastAsiaTheme="minorEastAsia"/>
                <w:b/>
                <w:bCs/>
                <w:sz w:val="28"/>
                <w:szCs w:val="28"/>
              </w:rPr>
              <w:t>知识产权名称</w:t>
            </w:r>
          </w:p>
        </w:tc>
        <w:tc>
          <w:tcPr>
            <w:tcW w:w="7895" w:type="dxa"/>
            <w:vAlign w:val="center"/>
          </w:tcPr>
          <w:p>
            <w:pPr>
              <w:adjustRightInd w:val="0"/>
              <w:snapToGrid w:val="0"/>
              <w:spacing w:line="276" w:lineRule="auto"/>
              <w:rPr>
                <w:rFonts w:ascii="宋体" w:hAnsi="宋体" w:cs="宋体"/>
                <w:color w:val="000000"/>
                <w:kern w:val="0"/>
                <w:sz w:val="28"/>
                <w:szCs w:val="28"/>
              </w:rPr>
            </w:pPr>
            <w:r>
              <w:rPr>
                <w:rFonts w:hint="eastAsia" w:ascii="宋体" w:hAnsi="宋体" w:cs="宋体"/>
                <w:color w:val="000000"/>
                <w:kern w:val="0"/>
                <w:sz w:val="28"/>
                <w:szCs w:val="28"/>
              </w:rPr>
              <w:t>1.专利：&lt;具有扶阳作用的中药组合物和中药药酒及其制备方法&gt;（专利授权号：</w:t>
            </w:r>
            <w:r>
              <w:rPr>
                <w:rFonts w:ascii="宋体" w:hAnsi="宋体" w:cs="宋体"/>
                <w:color w:val="000000"/>
                <w:kern w:val="0"/>
                <w:sz w:val="28"/>
                <w:szCs w:val="28"/>
              </w:rPr>
              <w:t>ZL201410151020.9</w:t>
            </w:r>
            <w:r>
              <w:rPr>
                <w:rFonts w:hint="eastAsia" w:ascii="宋体" w:hAnsi="宋体" w:cs="宋体"/>
                <w:color w:val="000000"/>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bCs/>
              </w:rPr>
            </w:pPr>
          </w:p>
        </w:tc>
        <w:tc>
          <w:tcPr>
            <w:tcW w:w="7895" w:type="dxa"/>
            <w:vAlign w:val="center"/>
          </w:tcPr>
          <w:p>
            <w:pPr>
              <w:adjustRightInd w:val="0"/>
              <w:snapToGrid w:val="0"/>
              <w:spacing w:line="276" w:lineRule="auto"/>
              <w:rPr>
                <w:rFonts w:ascii="宋体" w:hAnsi="宋体" w:cs="宋体"/>
                <w:color w:val="000000"/>
                <w:kern w:val="0"/>
                <w:sz w:val="28"/>
                <w:szCs w:val="28"/>
              </w:rPr>
            </w:pPr>
            <w:r>
              <w:rPr>
                <w:rFonts w:hint="eastAsia" w:ascii="宋体" w:hAnsi="宋体" w:cs="宋体"/>
                <w:color w:val="000000"/>
                <w:kern w:val="0"/>
                <w:sz w:val="28"/>
                <w:szCs w:val="28"/>
              </w:rPr>
              <w:t>2.专利：&lt;用于火艾灸的中药药膜贴&gt;（专利授权号：</w:t>
            </w:r>
            <w:r>
              <w:rPr>
                <w:rFonts w:ascii="宋体" w:hAnsi="宋体" w:cs="宋体"/>
                <w:color w:val="000000"/>
                <w:kern w:val="0"/>
                <w:sz w:val="28"/>
                <w:szCs w:val="28"/>
              </w:rPr>
              <w:t>ZL201420188167.0</w:t>
            </w:r>
            <w:r>
              <w:rPr>
                <w:rFonts w:hint="eastAsia" w:ascii="宋体" w:hAnsi="宋体" w:cs="宋体"/>
                <w:color w:val="000000"/>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bCs/>
              </w:rPr>
            </w:pPr>
          </w:p>
        </w:tc>
        <w:tc>
          <w:tcPr>
            <w:tcW w:w="7895" w:type="dxa"/>
            <w:vAlign w:val="center"/>
          </w:tcPr>
          <w:p>
            <w:pPr>
              <w:adjustRightInd w:val="0"/>
              <w:snapToGrid w:val="0"/>
              <w:spacing w:line="276" w:lineRule="auto"/>
              <w:jc w:val="left"/>
              <w:rPr>
                <w:rFonts w:ascii="宋体" w:hAnsi="宋体" w:cs="宋体"/>
                <w:color w:val="000000"/>
                <w:kern w:val="0"/>
                <w:sz w:val="28"/>
                <w:szCs w:val="28"/>
              </w:rPr>
            </w:pPr>
            <w:r>
              <w:rPr>
                <w:rFonts w:hint="eastAsia" w:ascii="宋体" w:hAnsi="宋体" w:cs="宋体"/>
                <w:color w:val="000000"/>
                <w:kern w:val="0"/>
                <w:sz w:val="28"/>
                <w:szCs w:val="28"/>
              </w:rPr>
              <w:t>3.著作权：《龙氏治脊疗法》（授权号：粤作登字</w:t>
            </w:r>
            <w:r>
              <w:rPr>
                <w:rFonts w:ascii="宋体" w:hAnsi="宋体" w:cs="宋体"/>
                <w:color w:val="000000"/>
                <w:kern w:val="0"/>
                <w:sz w:val="28"/>
                <w:szCs w:val="28"/>
              </w:rPr>
              <w:t>-2018-A00000466</w:t>
            </w:r>
            <w:r>
              <w:rPr>
                <w:rFonts w:hint="eastAsia" w:ascii="宋体" w:hAnsi="宋体" w:cs="宋体"/>
                <w:color w:val="000000"/>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615" w:type="dxa"/>
            <w:vMerge w:val="continue"/>
            <w:vAlign w:val="center"/>
          </w:tcPr>
          <w:p>
            <w:pPr>
              <w:adjustRightInd w:val="0"/>
              <w:snapToGrid w:val="0"/>
              <w:jc w:val="center"/>
              <w:rPr>
                <w:rFonts w:ascii="仿宋" w:hAnsi="仿宋" w:eastAsia="仿宋"/>
                <w:b/>
                <w:bCs/>
              </w:rPr>
            </w:pPr>
          </w:p>
        </w:tc>
        <w:tc>
          <w:tcPr>
            <w:tcW w:w="7895" w:type="dxa"/>
            <w:vAlign w:val="center"/>
          </w:tcPr>
          <w:p>
            <w:pPr>
              <w:adjustRightInd w:val="0"/>
              <w:snapToGrid w:val="0"/>
              <w:spacing w:line="276" w:lineRule="auto"/>
              <w:jc w:val="left"/>
              <w:rPr>
                <w:rFonts w:ascii="宋体" w:hAnsi="宋体" w:cs="宋体"/>
                <w:color w:val="000000"/>
                <w:kern w:val="0"/>
                <w:sz w:val="28"/>
                <w:szCs w:val="28"/>
              </w:rPr>
            </w:pPr>
            <w:r>
              <w:rPr>
                <w:rFonts w:hint="eastAsia" w:ascii="宋体" w:hAnsi="宋体" w:cs="宋体"/>
                <w:color w:val="000000"/>
                <w:kern w:val="0"/>
                <w:sz w:val="28"/>
                <w:szCs w:val="28"/>
              </w:rPr>
              <w:t>4.著作权：《治腰治颈不如靠自己》（授权号：粤作登字-2018-L00002063）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11" w:hRule="atLeast"/>
          <w:jc w:val="center"/>
        </w:trPr>
        <w:tc>
          <w:tcPr>
            <w:tcW w:w="1615" w:type="dxa"/>
            <w:vAlign w:val="center"/>
          </w:tcPr>
          <w:p>
            <w:pPr>
              <w:adjustRightInd w:val="0"/>
              <w:snapToGrid w:val="0"/>
              <w:jc w:val="center"/>
              <w:rPr>
                <w:rFonts w:ascii="仿宋" w:hAnsi="仿宋" w:eastAsia="仿宋"/>
                <w:b/>
                <w:bCs/>
              </w:rPr>
            </w:pPr>
            <w:r>
              <w:rPr>
                <w:rFonts w:hint="eastAsia" w:asciiTheme="minorEastAsia" w:hAnsiTheme="minorEastAsia" w:eastAsiaTheme="minorEastAsia"/>
                <w:b/>
                <w:bCs/>
                <w:sz w:val="28"/>
                <w:szCs w:val="28"/>
              </w:rPr>
              <w:t>推广应用情况</w:t>
            </w:r>
          </w:p>
        </w:tc>
        <w:tc>
          <w:tcPr>
            <w:tcW w:w="7895" w:type="dxa"/>
            <w:vAlign w:val="center"/>
          </w:tcPr>
          <w:p>
            <w:pPr>
              <w:adjustRightInd w:val="0"/>
              <w:snapToGrid w:val="0"/>
              <w:spacing w:line="276" w:lineRule="auto"/>
              <w:ind w:firstLine="560" w:firstLineChars="200"/>
              <w:jc w:val="left"/>
              <w:rPr>
                <w:rFonts w:ascii="宋体" w:hAnsi="宋体" w:cs="宋体"/>
                <w:color w:val="000000" w:themeColor="text1"/>
                <w:kern w:val="0"/>
                <w:sz w:val="28"/>
                <w:szCs w:val="28"/>
              </w:rPr>
            </w:pPr>
            <w:r>
              <w:rPr>
                <w:rFonts w:hint="eastAsia" w:ascii="宋体" w:hAnsi="宋体" w:cs="宋体"/>
                <w:color w:val="000000" w:themeColor="text1"/>
                <w:kern w:val="0"/>
                <w:sz w:val="28"/>
                <w:szCs w:val="28"/>
              </w:rPr>
              <w:t>脊柱相关疾病的防治是我国我省临床常见病防治工作的重要内容之一。本项目组自2007年开始脊柱相关疾病的防治研究，在1项国家级、6项省级和1项市级科研项目的资助下，国内率先开展脊柱相关疾病诊疗策略研究；初步建立了国内脊柱相关疾病防治人才体系；针对影响脊柱相关疾病防治的制约因素，运用管理学理论从宏观层面提出以三级医院为依托的区域性脊柱相关疾病防治诊疗管理及推广模式；充分发挥医疗资源共享优势，在我国部分地区初步建立了脊柱相关疾病的防治网络，响应国家推广中医药，发展中医适宜技术的指导原则，解决百姓看病就医难题，取得显著社会效益。</w:t>
            </w:r>
          </w:p>
          <w:p>
            <w:pPr>
              <w:adjustRightInd w:val="0"/>
              <w:snapToGrid w:val="0"/>
              <w:spacing w:line="276" w:lineRule="auto"/>
              <w:ind w:firstLine="560" w:firstLineChars="200"/>
              <w:jc w:val="left"/>
              <w:rPr>
                <w:rFonts w:ascii="宋体" w:hAnsi="宋体" w:cs="宋体"/>
                <w:color w:val="000000" w:themeColor="text1"/>
                <w:kern w:val="0"/>
                <w:sz w:val="28"/>
                <w:szCs w:val="28"/>
              </w:rPr>
            </w:pPr>
            <w:r>
              <w:rPr>
                <w:rFonts w:hint="eastAsia" w:ascii="宋体" w:hAnsi="宋体" w:cs="宋体"/>
                <w:color w:val="000000" w:themeColor="text1"/>
                <w:kern w:val="0"/>
                <w:sz w:val="28"/>
                <w:szCs w:val="28"/>
              </w:rPr>
              <w:t>一、社会效益：项目组近五年共诊治脊柱相关疾病患者50328例，其中疑难重症脊柱相关疾病患者近10000例。患者来自包括欧美，大洋洲、非洲及国内20多个省市地区。明显降低了国内脊柱相关疾病的发生率，减轻家庭、社会及国家的负担。动正整脊手法作为中医特色技术项目参加赴南太平洋岛国“送医上岛”医疗巡诊和中国援非（加纳）医疗任务。项目组专家出色地完成了“一带一路”医疗外交使命，传播中医药文化，为国增光。</w:t>
            </w:r>
          </w:p>
          <w:p>
            <w:pPr>
              <w:adjustRightInd w:val="0"/>
              <w:snapToGrid w:val="0"/>
              <w:spacing w:line="276" w:lineRule="auto"/>
              <w:ind w:firstLine="560" w:firstLineChars="200"/>
              <w:jc w:val="left"/>
              <w:rPr>
                <w:rFonts w:ascii="宋体" w:hAnsi="宋体" w:cs="宋体"/>
                <w:color w:val="000000" w:themeColor="text1"/>
                <w:kern w:val="0"/>
                <w:sz w:val="28"/>
                <w:szCs w:val="28"/>
              </w:rPr>
            </w:pPr>
            <w:r>
              <w:rPr>
                <w:rFonts w:hint="eastAsia" w:ascii="宋体" w:hAnsi="宋体" w:cs="宋体"/>
                <w:color w:val="000000" w:themeColor="text1"/>
                <w:kern w:val="0"/>
                <w:sz w:val="28"/>
                <w:szCs w:val="28"/>
              </w:rPr>
              <w:t>二、人才培养：项目组依托科室（康复科）拥有500余张病床，其中脊柱相关疾病病区用床200余张，共培养博士3名，硕士39名，每年接收专科进修医生近100名。近年来举办相关培训12期，培训人员达3000人次，受邀参加国内脊柱相关疾病专题讲座30余次，提高了   我省特别是欠发达地区专科医师诊治疑难重症脊柱相关疾病的临床水平。</w:t>
            </w:r>
          </w:p>
          <w:p>
            <w:pPr>
              <w:adjustRightInd w:val="0"/>
              <w:snapToGrid w:val="0"/>
              <w:spacing w:line="276" w:lineRule="auto"/>
              <w:ind w:firstLine="560" w:firstLineChars="200"/>
              <w:jc w:val="left"/>
              <w:rPr>
                <w:rFonts w:ascii="宋体" w:hAnsi="宋体" w:cs="宋体"/>
                <w:color w:val="000000" w:themeColor="text1"/>
                <w:kern w:val="0"/>
                <w:sz w:val="28"/>
                <w:szCs w:val="28"/>
              </w:rPr>
            </w:pPr>
            <w:r>
              <w:rPr>
                <w:rFonts w:hint="eastAsia" w:ascii="宋体" w:hAnsi="宋体" w:cs="宋体"/>
                <w:color w:val="000000" w:themeColor="text1"/>
                <w:kern w:val="0"/>
                <w:sz w:val="28"/>
                <w:szCs w:val="28"/>
              </w:rPr>
              <w:t>三、平台建设：项目组依托科室入选国家中医药管理局遴选的区域中医（专科）诊疗中心建设单位和广东省适宜技术推广基地；获广东省政府百万专项资金的资助，建立脊柱相关疾病研究工作室；成立了“中国民族医药学会康复分会”、“广东省中西医结合学会脊柱疾病康复专业委员会”和“广东省针灸学会针推结合专业委员会”。项目组在国内如广西、江西、海南，山西、河南等省及我省的惠州、佛山、江门、韶关、肇庆等地共成立以13家三级医院为依托的脊柱疾病临床康复示范基地，提高整体特别是经济欠发达地区的脊柱相关疾病防治能力。</w:t>
            </w:r>
          </w:p>
          <w:p>
            <w:pPr>
              <w:adjustRightInd w:val="0"/>
              <w:snapToGrid w:val="0"/>
              <w:spacing w:line="276" w:lineRule="auto"/>
              <w:ind w:firstLine="560" w:firstLineChars="200"/>
              <w:jc w:val="left"/>
              <w:rPr>
                <w:rFonts w:ascii="宋体" w:hAnsi="宋体" w:cs="宋体"/>
                <w:color w:val="000000" w:themeColor="text1"/>
                <w:kern w:val="0"/>
                <w:sz w:val="28"/>
                <w:szCs w:val="28"/>
              </w:rPr>
            </w:pPr>
            <w:r>
              <w:rPr>
                <w:rFonts w:hint="eastAsia" w:ascii="宋体" w:hAnsi="宋体" w:cs="宋体"/>
                <w:color w:val="000000" w:themeColor="text1"/>
                <w:kern w:val="0"/>
                <w:sz w:val="28"/>
                <w:szCs w:val="28"/>
              </w:rPr>
              <w:t>四、项目组共发表论文33篇，其中SCI论文3篇，他引248次。发明专利1项，实用新型专利1项。出版专著4部：《龙氏治脊疗法》及相关专业教学视频和《推拿学》帮助临床医生规范化掌握该项技术；《龙氏治脊疗法》现已印刷5次，发行量超过10000册。《常见关节炎的预防与康复》、《治腰治颈不如靠自己》践行中医治未病思想，指导患者及广大百姓防治脊柱相关疾病。我省各级媒体的相关科普宣传报道52次。</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D00"/>
    <w:rsid w:val="00031200"/>
    <w:rsid w:val="000D1F2D"/>
    <w:rsid w:val="000E325E"/>
    <w:rsid w:val="000E4B3B"/>
    <w:rsid w:val="000E4E1D"/>
    <w:rsid w:val="00106C1A"/>
    <w:rsid w:val="001B5AA0"/>
    <w:rsid w:val="002B6DF0"/>
    <w:rsid w:val="003939BB"/>
    <w:rsid w:val="003977FB"/>
    <w:rsid w:val="00423E54"/>
    <w:rsid w:val="004C6510"/>
    <w:rsid w:val="00514DF3"/>
    <w:rsid w:val="005A1B91"/>
    <w:rsid w:val="005C7D00"/>
    <w:rsid w:val="005E4280"/>
    <w:rsid w:val="00641B99"/>
    <w:rsid w:val="006530F3"/>
    <w:rsid w:val="006704B1"/>
    <w:rsid w:val="00687D13"/>
    <w:rsid w:val="006F10AA"/>
    <w:rsid w:val="00713CA6"/>
    <w:rsid w:val="0072092F"/>
    <w:rsid w:val="00720A27"/>
    <w:rsid w:val="007A595C"/>
    <w:rsid w:val="0081710A"/>
    <w:rsid w:val="008821FB"/>
    <w:rsid w:val="008B0E52"/>
    <w:rsid w:val="008D1CAD"/>
    <w:rsid w:val="009E4EC0"/>
    <w:rsid w:val="00A45131"/>
    <w:rsid w:val="00AC3361"/>
    <w:rsid w:val="00AF5DE6"/>
    <w:rsid w:val="00B64AAF"/>
    <w:rsid w:val="00B92E72"/>
    <w:rsid w:val="00BA559F"/>
    <w:rsid w:val="00BA60B5"/>
    <w:rsid w:val="00BD2CDB"/>
    <w:rsid w:val="00C7221F"/>
    <w:rsid w:val="00D65C12"/>
    <w:rsid w:val="00DB6567"/>
    <w:rsid w:val="00DE2FF1"/>
    <w:rsid w:val="00E06068"/>
    <w:rsid w:val="00E2563A"/>
    <w:rsid w:val="00E50FE1"/>
    <w:rsid w:val="00EF15E2"/>
    <w:rsid w:val="00F7584A"/>
    <w:rsid w:val="063007BB"/>
    <w:rsid w:val="113279B4"/>
    <w:rsid w:val="31454249"/>
    <w:rsid w:val="38F52B0B"/>
    <w:rsid w:val="422C0112"/>
    <w:rsid w:val="467943C0"/>
    <w:rsid w:val="4E4D3C76"/>
    <w:rsid w:val="52540312"/>
    <w:rsid w:val="5B4A3E24"/>
    <w:rsid w:val="7F3A70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7"/>
    <w:qFormat/>
    <w:uiPriority w:val="0"/>
    <w:pPr>
      <w:keepNext/>
      <w:jc w:val="center"/>
      <w:outlineLvl w:val="0"/>
    </w:pPr>
    <w:rPr>
      <w:rFonts w:ascii="仿宋_GB2312" w:hAnsi="Times New Roman" w:eastAsia="仿宋_GB2312"/>
      <w:kern w:val="0"/>
      <w:sz w:val="28"/>
      <w:szCs w:val="20"/>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标题 1 Char"/>
    <w:basedOn w:val="5"/>
    <w:link w:val="2"/>
    <w:uiPriority w:val="0"/>
    <w:rPr>
      <w:rFonts w:ascii="仿宋_GB2312" w:hAnsi="Times New Roman" w:eastAsia="仿宋_GB2312" w:cs="Times New Roman"/>
      <w:kern w:val="0"/>
      <w:sz w:val="28"/>
      <w:szCs w:val="20"/>
    </w:rPr>
  </w:style>
  <w:style w:type="character" w:customStyle="1" w:styleId="8">
    <w:name w:val="页眉 Char"/>
    <w:basedOn w:val="5"/>
    <w:link w:val="4"/>
    <w:semiHidden/>
    <w:qFormat/>
    <w:uiPriority w:val="99"/>
    <w:rPr>
      <w:rFonts w:ascii="Calibri" w:hAnsi="Calibri" w:eastAsia="宋体" w:cs="Times New Roman"/>
      <w:sz w:val="18"/>
      <w:szCs w:val="18"/>
    </w:rPr>
  </w:style>
  <w:style w:type="character" w:customStyle="1" w:styleId="9">
    <w:name w:val="页脚 Char"/>
    <w:basedOn w:val="5"/>
    <w:link w:val="3"/>
    <w:semiHidden/>
    <w:qFormat/>
    <w:uiPriority w:val="99"/>
    <w:rPr>
      <w:rFonts w:ascii="Calibri" w:hAnsi="Calibri" w:eastAsia="宋体" w:cs="Times New Roman"/>
      <w:sz w:val="18"/>
      <w:szCs w:val="18"/>
    </w:rPr>
  </w:style>
  <w:style w:type="paragraph" w:customStyle="1"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620</Words>
  <Characters>3539</Characters>
  <Lines>29</Lines>
  <Paragraphs>8</Paragraphs>
  <TotalTime>8</TotalTime>
  <ScaleCrop>false</ScaleCrop>
  <LinksUpToDate>false</LinksUpToDate>
  <CharactersWithSpaces>4151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2018-10-31T02:20:00Z</dcterms:created>
  <dc:creator>微软用户</dc:creator>
  <cp:lastModifiedBy>李文波</cp:lastModifiedBy>
  <cp:lastPrinted>2018-11-06T07:31:44Z</cp:lastPrinted>
  <dcterms:modified xsi:type="dcterms:W3CDTF">2018-11-06T07:32:27Z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2052-10.8.0.6423</vt:lpwstr>
  </property>
</Properties>
</file>